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cs="黑体"/>
                <w:sz w:val="21"/>
                <w:szCs w:val="21"/>
              </w:rPr>
            </w:pPr>
            <w:r>
              <w:rPr>
                <w:rFonts w:hint="eastAsia" w:ascii="黑体" w:hAnsi="黑体" w:eastAsia="黑体" w:cs="黑体"/>
                <w:sz w:val="21"/>
                <w:szCs w:val="21"/>
              </w:rPr>
              <w:t>ICS</w:t>
            </w:r>
            <w:r>
              <w:rPr>
                <w:rFonts w:hint="eastAsia" w:ascii="黑体" w:hAnsi="黑体" w:eastAsia="黑体" w:cs="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default" w:ascii="黑体" w:hAnsi="黑体" w:eastAsia="黑体"/>
                <w:sz w:val="21"/>
                <w:szCs w:val="21"/>
                <w:lang w:val="en-US" w:eastAsia="zh-CN"/>
              </w:rPr>
            </w:pPr>
            <w:r>
              <w:rPr>
                <w:rFonts w:hint="eastAsia" w:ascii="黑体" w:hAnsi="黑体" w:eastAsia="黑体"/>
                <w:sz w:val="21"/>
                <w:szCs w:val="21"/>
                <w:lang w:val="en-US" w:eastAsia="zh-CN"/>
              </w:rPr>
              <w:t>17.240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cs="黑体"/>
                <w:sz w:val="21"/>
                <w:szCs w:val="21"/>
              </w:rPr>
            </w:pPr>
            <w:r>
              <w:rPr>
                <w:rFonts w:hint="eastAsia" w:ascii="黑体" w:hAnsi="黑体" w:eastAsia="黑体" w:cs="黑体"/>
                <w:sz w:val="21"/>
                <w:szCs w:val="21"/>
              </w:rPr>
              <w:t xml:space="preserve">CCS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50"/>
                    <w:framePr w:wrap="notBeside" w:vAnchor="page" w:hAnchor="page" w:x="1372" w:y="568"/>
                    <w:ind w:left="420" w:right="624"/>
                    <w:rPr>
                      <w:rFonts w:hint="default" w:ascii="宋体" w:hAnsi="宋体" w:eastAsia="宋体"/>
                      <w:sz w:val="28"/>
                      <w:szCs w:val="28"/>
                      <w:lang w:val="en-US" w:eastAsia="zh-CN"/>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lang w:val="en-US" w:eastAsia="zh-CN"/>
                    </w:rPr>
                    <w:t>GDRPA</w:t>
                  </w:r>
                </w:p>
              </w:tc>
            </w:tr>
          </w:tbl>
          <w:p>
            <w:pPr>
              <w:pStyle w:val="19"/>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黑体" w:hAnsi="黑体" w:eastAsia="黑体"/>
                <w:sz w:val="21"/>
                <w:szCs w:val="21"/>
                <w:lang w:val="en-US" w:eastAsia="zh-CN"/>
              </w:rPr>
              <w:t>Z 30</w:t>
            </w:r>
          </w:p>
        </w:tc>
      </w:tr>
    </w:tbl>
    <w:p>
      <w:pPr>
        <w:pStyle w:val="51"/>
        <w:framePr w:w="9639" w:h="624" w:hRule="exact" w:hSpace="181" w:vSpace="181" w:wrap="around" w:hAnchor="page" w:x="1305" w:y="2269"/>
        <w:rPr>
          <w:rFonts w:ascii="黑体" w:hAnsi="黑体" w:eastAsia="黑体"/>
          <w:b w:val="0"/>
          <w:bCs w:val="0"/>
          <w:w w:val="100"/>
          <w:sz w:val="48"/>
          <w:szCs w:val="48"/>
        </w:rPr>
      </w:pPr>
      <w:bookmarkStart w:id="0" w:name="_Hlk26473981"/>
      <w:r>
        <w:rPr>
          <w:rFonts w:hint="eastAsia" w:ascii="黑体" w:eastAsia="黑体"/>
          <w:b w:val="0"/>
          <w:w w:val="100"/>
          <w:sz w:val="48"/>
          <w:lang w:val="en-US" w:eastAsia="zh-CN"/>
        </w:rPr>
        <w:t>广东省辐射防护协会</w:t>
      </w:r>
      <w:r>
        <w:rPr>
          <w:rFonts w:hint="eastAsia" w:ascii="黑体" w:eastAsia="黑体"/>
          <w:b w:val="0"/>
          <w:w w:val="100"/>
          <w:sz w:val="48"/>
        </w:rPr>
        <w:t>团体</w:t>
      </w:r>
      <w:r>
        <w:rPr>
          <w:rFonts w:hint="eastAsia" w:ascii="黑体" w:hAnsi="黑体" w:eastAsia="黑体"/>
          <w:b w:val="0"/>
          <w:bCs w:val="0"/>
          <w:w w:val="100"/>
          <w:sz w:val="48"/>
          <w:szCs w:val="48"/>
        </w:rPr>
        <w:t>标准</w:t>
      </w:r>
    </w:p>
    <w:bookmarkEnd w:id="0"/>
    <w:p>
      <w:pPr>
        <w:pStyle w:val="196"/>
        <w:rPr>
          <w:rFonts w:hint="default" w:eastAsia="黑体"/>
          <w:lang w:val="en-US" w:eastAsia="zh-CN"/>
        </w:rPr>
      </w:pPr>
      <w:r>
        <w:t>T/</w:t>
      </w:r>
      <w:r>
        <w:rPr>
          <w:rFonts w:hint="eastAsia"/>
          <w:lang w:val="en-US" w:eastAsia="zh-CN"/>
        </w:rPr>
        <w:t>GDRPA</w:t>
      </w:r>
      <w:r>
        <w:t xml:space="preserve">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rPr>
          <w:rFonts w:hint="eastAsia"/>
          <w:lang w:val="en-US" w:eastAsia="zh-CN"/>
        </w:rPr>
        <w:t>2024</w:t>
      </w:r>
    </w:p>
    <w:p>
      <w:pPr>
        <w:pStyle w:val="197"/>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rPr>
          <w:rFonts w:hint="eastAsia"/>
        </w:rPr>
        <w:t>电磁辐射环境自动监测技术规范</w:t>
      </w:r>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hint="eastAsia" w:eastAsia="黑体"/>
          <w:szCs w:val="28"/>
        </w:rPr>
        <w:t>Technical specification for electromagnetic radiation environmental automatic monitoring</w:t>
      </w:r>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rFonts w:hint="eastAsia" w:eastAsia="宋体"/>
          <w:sz w:val="24"/>
          <w:szCs w:val="28"/>
          <w:lang w:val="en-US" w:eastAsia="zh-CN"/>
        </w:rPr>
      </w:pPr>
      <w:r>
        <w:rPr>
          <w:rFonts w:hint="eastAsia"/>
          <w:sz w:val="24"/>
          <w:szCs w:val="28"/>
          <w:lang w:val="en-US" w:eastAsia="zh-CN"/>
        </w:rPr>
        <w:t>（征求意见稿）</w:t>
      </w:r>
    </w:p>
    <w:p>
      <w:pPr>
        <w:pStyle w:val="194"/>
        <w:framePr w:wrap="around" w:y="14176"/>
      </w:pPr>
      <w:r>
        <w:rPr>
          <w:rFonts w:hint="eastAsia"/>
          <w:lang w:val="en-US" w:eastAsia="zh-CN"/>
        </w:rPr>
        <w:t>2024</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3"/>
      <w:r>
        <w:rPr>
          <w:rFonts w:hint="eastAsia"/>
        </w:rPr>
        <w:t>发布</w:t>
      </w:r>
    </w:p>
    <w:p>
      <w:pPr>
        <w:pStyle w:val="195"/>
        <w:framePr w:wrap="around" w:y="14176"/>
      </w:pPr>
      <w:r>
        <w:rPr>
          <w:rFonts w:hint="eastAsia"/>
          <w:lang w:val="en-US" w:eastAsia="zh-CN"/>
        </w:rPr>
        <w:t>2024</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实施</w:t>
      </w:r>
    </w:p>
    <w:p>
      <w:pPr>
        <w:pStyle w:val="152"/>
        <w:framePr w:h="584" w:hRule="exact" w:hSpace="181" w:vSpace="181" w:wrap="around" w:y="14800"/>
        <w:rPr>
          <w:rFonts w:hAnsi="黑体"/>
        </w:rPr>
      </w:pPr>
      <w:r>
        <w:rPr>
          <w:rFonts w:hint="eastAsia"/>
          <w:spacing w:val="20"/>
          <w:sz w:val="28"/>
        </w:rPr>
        <w:t>广东省辐射防护协会</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360"/>
      </w:pPr>
      <w:bookmarkStart w:id="6" w:name="BookMark1"/>
      <w:bookmarkStart w:id="7" w:name="_Toc165908022"/>
      <w:bookmarkStart w:id="8" w:name="_Toc165887055"/>
      <w:r>
        <w:rPr>
          <w:rFonts w:hint="eastAsia"/>
          <w:spacing w:val="320"/>
        </w:rPr>
        <w:t>目</w:t>
      </w:r>
      <w:r>
        <w:rPr>
          <w:rFonts w:hint="eastAsia"/>
        </w:rPr>
        <w:t>次</w:t>
      </w:r>
    </w:p>
    <w:p>
      <w:pPr>
        <w:pStyle w:val="20"/>
        <w:tabs>
          <w:tab w:val="right" w:leader="dot" w:pos="9354"/>
        </w:tabs>
      </w:pPr>
      <w:r>
        <w:fldChar w:fldCharType="begin"/>
      </w:r>
      <w:r>
        <w:instrText xml:space="preserve"> TOC \o "1-1" \h </w:instrText>
      </w:r>
      <w:r>
        <w:fldChar w:fldCharType="separate"/>
      </w:r>
      <w:r>
        <w:fldChar w:fldCharType="begin"/>
      </w:r>
      <w:r>
        <w:instrText xml:space="preserve"> HYPERLINK \l _Toc32652 </w:instrText>
      </w:r>
      <w:r>
        <w:fldChar w:fldCharType="separate"/>
      </w:r>
      <w:r>
        <w:rPr>
          <w:rFonts w:hint="eastAsia"/>
          <w:lang w:val="en-US" w:eastAsia="zh-CN"/>
        </w:rPr>
        <w:t>前言</w:t>
      </w:r>
      <w:r>
        <w:tab/>
      </w:r>
      <w:r>
        <w:fldChar w:fldCharType="begin"/>
      </w:r>
      <w:r>
        <w:instrText xml:space="preserve"> PAGEREF _Toc32652 \h </w:instrText>
      </w:r>
      <w:r>
        <w:fldChar w:fldCharType="separate"/>
      </w:r>
      <w:r>
        <w:t>II</w:t>
      </w:r>
      <w:r>
        <w:fldChar w:fldCharType="end"/>
      </w:r>
      <w: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_Toc8698 </w:instrText>
      </w:r>
      <w:r>
        <w:rPr>
          <w:rFonts w:hint="eastAsia" w:ascii="宋体" w:hAnsi="宋体" w:eastAsia="宋体" w:cs="宋体"/>
        </w:rPr>
        <w:fldChar w:fldCharType="separate"/>
      </w:r>
      <w:r>
        <w:rPr>
          <w:rFonts w:hint="eastAsia" w:ascii="宋体" w:hAnsi="宋体" w:eastAsia="宋体" w:cs="宋体"/>
          <w:i w:val="0"/>
        </w:rPr>
        <w:t>1</w:t>
      </w:r>
      <w:r>
        <w:rPr>
          <w:rFonts w:hint="eastAsia" w:ascii="宋体" w:hAnsi="宋体" w:eastAsia="宋体" w:cs="宋体"/>
          <w:i w:val="0"/>
          <w:lang w:eastAsia="zh-CN"/>
        </w:rPr>
        <w:t>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_Toc8698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_Toc10172 </w:instrText>
      </w:r>
      <w:r>
        <w:rPr>
          <w:rFonts w:hint="eastAsia" w:ascii="宋体" w:hAnsi="宋体" w:eastAsia="宋体" w:cs="宋体"/>
        </w:rPr>
        <w:fldChar w:fldCharType="separate"/>
      </w:r>
      <w:r>
        <w:rPr>
          <w:rFonts w:hint="eastAsia" w:ascii="宋体" w:hAnsi="宋体" w:eastAsia="宋体" w:cs="宋体"/>
          <w:i w:val="0"/>
        </w:rPr>
        <w:t>2</w:t>
      </w:r>
      <w:r>
        <w:rPr>
          <w:rFonts w:hint="eastAsia" w:ascii="宋体" w:hAnsi="宋体" w:eastAsia="宋体" w:cs="宋体"/>
          <w:i w:val="0"/>
          <w:lang w:eastAsia="zh-CN"/>
        </w:rPr>
        <w:t>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_Toc10172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_Toc30595 </w:instrText>
      </w:r>
      <w:r>
        <w:rPr>
          <w:rFonts w:hint="eastAsia" w:ascii="宋体" w:hAnsi="宋体" w:eastAsia="宋体" w:cs="宋体"/>
        </w:rPr>
        <w:fldChar w:fldCharType="separate"/>
      </w:r>
      <w:r>
        <w:rPr>
          <w:rFonts w:hint="eastAsia" w:ascii="宋体" w:hAnsi="宋体" w:eastAsia="宋体" w:cs="宋体"/>
          <w:i w:val="0"/>
        </w:rPr>
        <w:t>3</w:t>
      </w:r>
      <w:r>
        <w:rPr>
          <w:rFonts w:hint="eastAsia" w:ascii="宋体" w:hAnsi="宋体" w:eastAsia="宋体" w:cs="宋体"/>
          <w:i w:val="0"/>
          <w:lang w:eastAsia="zh-CN"/>
        </w:rPr>
        <w:t>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_Toc30595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_Toc11387 </w:instrText>
      </w:r>
      <w:r>
        <w:rPr>
          <w:rFonts w:hint="eastAsia" w:ascii="宋体" w:hAnsi="宋体" w:eastAsia="宋体" w:cs="宋体"/>
        </w:rPr>
        <w:fldChar w:fldCharType="separate"/>
      </w:r>
      <w:r>
        <w:rPr>
          <w:rFonts w:hint="eastAsia" w:ascii="宋体" w:hAnsi="宋体" w:eastAsia="宋体" w:cs="宋体"/>
          <w:i w:val="0"/>
        </w:rPr>
        <w:t>4</w:t>
      </w:r>
      <w:r>
        <w:rPr>
          <w:rFonts w:hint="eastAsia" w:ascii="宋体" w:hAnsi="宋体" w:eastAsia="宋体" w:cs="宋体"/>
          <w:i w:val="0"/>
          <w:lang w:eastAsia="zh-CN"/>
        </w:rPr>
        <w:t>　</w:t>
      </w:r>
      <w:r>
        <w:rPr>
          <w:rFonts w:hint="eastAsia" w:ascii="宋体" w:hAnsi="宋体" w:eastAsia="宋体" w:cs="宋体"/>
        </w:rPr>
        <w:t>通用要求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_Toc11387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_Toc2647 </w:instrText>
      </w:r>
      <w:r>
        <w:rPr>
          <w:rFonts w:hint="eastAsia" w:ascii="宋体" w:hAnsi="宋体" w:eastAsia="宋体" w:cs="宋体"/>
        </w:rPr>
        <w:fldChar w:fldCharType="separate"/>
      </w:r>
      <w:r>
        <w:rPr>
          <w:rFonts w:hint="eastAsia" w:ascii="宋体" w:hAnsi="宋体" w:eastAsia="宋体" w:cs="宋体"/>
          <w:i w:val="0"/>
        </w:rPr>
        <w:t>5</w:t>
      </w:r>
      <w:r>
        <w:rPr>
          <w:rFonts w:hint="eastAsia" w:ascii="宋体" w:hAnsi="宋体" w:eastAsia="宋体" w:cs="宋体"/>
          <w:i w:val="0"/>
          <w:lang w:eastAsia="zh-CN"/>
        </w:rPr>
        <w:t>　</w:t>
      </w:r>
      <w:r>
        <w:rPr>
          <w:rFonts w:hint="eastAsia" w:ascii="宋体" w:hAnsi="宋体" w:eastAsia="宋体" w:cs="宋体"/>
        </w:rPr>
        <w:t>点位布设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_Toc2647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_Toc32104 </w:instrText>
      </w:r>
      <w:r>
        <w:rPr>
          <w:rFonts w:hint="eastAsia" w:ascii="宋体" w:hAnsi="宋体" w:eastAsia="宋体" w:cs="宋体"/>
        </w:rPr>
        <w:fldChar w:fldCharType="separate"/>
      </w:r>
      <w:r>
        <w:rPr>
          <w:rFonts w:hint="eastAsia" w:ascii="宋体" w:hAnsi="宋体" w:eastAsia="宋体" w:cs="宋体"/>
          <w:i w:val="0"/>
        </w:rPr>
        <w:t>6</w:t>
      </w:r>
      <w:r>
        <w:rPr>
          <w:rFonts w:hint="eastAsia" w:ascii="宋体" w:hAnsi="宋体" w:eastAsia="宋体" w:cs="宋体"/>
          <w:i w:val="0"/>
          <w:lang w:eastAsia="zh-CN"/>
        </w:rPr>
        <w:t>　</w:t>
      </w:r>
      <w:r>
        <w:rPr>
          <w:rFonts w:hint="eastAsia" w:ascii="宋体" w:hAnsi="宋体" w:eastAsia="宋体" w:cs="宋体"/>
        </w:rPr>
        <w:t>监测系统</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_Toc32104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_Toc13690 </w:instrText>
      </w:r>
      <w:r>
        <w:rPr>
          <w:rFonts w:hint="eastAsia" w:ascii="宋体" w:hAnsi="宋体" w:eastAsia="宋体" w:cs="宋体"/>
        </w:rPr>
        <w:fldChar w:fldCharType="separate"/>
      </w:r>
      <w:r>
        <w:rPr>
          <w:rFonts w:hint="eastAsia" w:ascii="宋体" w:hAnsi="宋体" w:eastAsia="宋体" w:cs="宋体"/>
          <w:i w:val="0"/>
        </w:rPr>
        <w:t>7</w:t>
      </w:r>
      <w:r>
        <w:rPr>
          <w:rFonts w:hint="eastAsia" w:ascii="宋体" w:hAnsi="宋体" w:eastAsia="宋体" w:cs="宋体"/>
          <w:i w:val="0"/>
          <w:lang w:eastAsia="zh-CN"/>
        </w:rPr>
        <w:t>　</w:t>
      </w:r>
      <w:r>
        <w:rPr>
          <w:rFonts w:hint="eastAsia" w:ascii="宋体" w:hAnsi="宋体" w:eastAsia="宋体" w:cs="宋体"/>
        </w:rPr>
        <w:t>数据应用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_Toc13690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_Toc29671 </w:instrText>
      </w:r>
      <w:r>
        <w:rPr>
          <w:rFonts w:hint="eastAsia" w:ascii="宋体" w:hAnsi="宋体" w:eastAsia="宋体" w:cs="宋体"/>
        </w:rPr>
        <w:fldChar w:fldCharType="separate"/>
      </w:r>
      <w:r>
        <w:rPr>
          <w:rFonts w:hint="eastAsia" w:ascii="宋体" w:hAnsi="宋体" w:eastAsia="宋体" w:cs="宋体"/>
          <w:i w:val="0"/>
        </w:rPr>
        <w:t>8</w:t>
      </w:r>
      <w:r>
        <w:rPr>
          <w:rFonts w:hint="eastAsia" w:ascii="宋体" w:hAnsi="宋体" w:eastAsia="宋体" w:cs="宋体"/>
          <w:i w:val="0"/>
          <w:lang w:eastAsia="zh-CN"/>
        </w:rPr>
        <w:t>　</w:t>
      </w:r>
      <w:r>
        <w:rPr>
          <w:rFonts w:hint="eastAsia" w:ascii="宋体" w:hAnsi="宋体" w:eastAsia="宋体" w:cs="宋体"/>
        </w:rPr>
        <w:t>运维管理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_Toc29671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_Toc30052 </w:instrText>
      </w:r>
      <w:r>
        <w:rPr>
          <w:rFonts w:hint="eastAsia" w:ascii="宋体" w:hAnsi="宋体" w:eastAsia="宋体" w:cs="宋体"/>
        </w:rPr>
        <w:fldChar w:fldCharType="separate"/>
      </w:r>
      <w:r>
        <w:rPr>
          <w:rFonts w:hint="eastAsia" w:ascii="宋体" w:hAnsi="宋体" w:eastAsia="宋体" w:cs="宋体"/>
          <w:i w:val="0"/>
        </w:rPr>
        <w:t>9</w:t>
      </w:r>
      <w:r>
        <w:rPr>
          <w:rFonts w:hint="eastAsia" w:ascii="宋体" w:hAnsi="宋体" w:eastAsia="宋体" w:cs="宋体"/>
          <w:i w:val="0"/>
          <w:lang w:eastAsia="zh-CN"/>
        </w:rPr>
        <w:t>　</w:t>
      </w:r>
      <w:r>
        <w:rPr>
          <w:rFonts w:hint="eastAsia" w:ascii="宋体" w:hAnsi="宋体" w:eastAsia="宋体" w:cs="宋体"/>
        </w:rPr>
        <w:t>质量保证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_Toc30052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pPr>
      <w:r>
        <w:fldChar w:fldCharType="begin"/>
      </w:r>
      <w:r>
        <w:instrText xml:space="preserve"> HYPERLINK \l _Toc10388 </w:instrText>
      </w:r>
      <w:r>
        <w:fldChar w:fldCharType="separate"/>
      </w:r>
      <w:r>
        <w:rPr>
          <w:rFonts w:hint="eastAsia"/>
          <w:lang w:val="en-US" w:eastAsia="zh-CN"/>
        </w:rPr>
        <w:t>参考文献</w:t>
      </w:r>
      <w:r>
        <w:tab/>
      </w:r>
      <w:r>
        <w:fldChar w:fldCharType="begin"/>
      </w:r>
      <w:r>
        <w:instrText xml:space="preserve"> PAGEREF _Toc10388 \h </w:instrText>
      </w:r>
      <w:r>
        <w:fldChar w:fldCharType="separate"/>
      </w:r>
      <w:r>
        <w:t>8</w:t>
      </w:r>
      <w:r>
        <w:fldChar w:fldCharType="end"/>
      </w:r>
      <w:r>
        <w:fldChar w:fldCharType="end"/>
      </w:r>
    </w:p>
    <w:p>
      <w:pPr>
        <w:pStyle w:val="92"/>
        <w:spacing w:after="360"/>
        <w:sectPr>
          <w:headerReference r:id="rId10" w:type="default"/>
          <w:footerReference r:id="rId12" w:type="default"/>
          <w:headerReference r:id="rId11"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6"/>
    <w:p>
      <w:pPr>
        <w:pStyle w:val="90"/>
        <w:spacing w:before="900" w:after="360"/>
      </w:pPr>
      <w:bookmarkStart w:id="9" w:name="_Toc32652"/>
      <w:bookmarkStart w:id="10" w:name="BookMark2"/>
      <w:r>
        <w:rPr>
          <w:spacing w:val="320"/>
        </w:rPr>
        <w:t>前</w:t>
      </w:r>
      <w:r>
        <w:t>言</w:t>
      </w:r>
      <w:bookmarkEnd w:id="7"/>
      <w:bookmarkEnd w:id="8"/>
      <w:bookmarkEnd w:id="9"/>
    </w:p>
    <w:p>
      <w:pPr>
        <w:pStyle w:val="57"/>
        <w:ind w:firstLine="420"/>
        <w:rPr>
          <w:rFonts w:hAnsi="宋体"/>
        </w:rPr>
      </w:pPr>
      <w:r>
        <w:rPr>
          <w:rFonts w:hAnsi="宋体"/>
        </w:rPr>
        <w:t>本文件按照</w:t>
      </w:r>
      <w:r>
        <w:t> </w:t>
      </w:r>
      <w:r>
        <w:rPr>
          <w:rFonts w:hAnsi="宋体"/>
        </w:rPr>
        <w:t>GB/T</w:t>
      </w:r>
      <w:r>
        <w:rPr>
          <w:rFonts w:hint="eastAsia" w:hAnsi="宋体"/>
        </w:rPr>
        <w:t xml:space="preserve"> </w:t>
      </w:r>
      <w:r>
        <w:rPr>
          <w:rFonts w:hAnsi="宋体"/>
        </w:rPr>
        <w:t>1.1—2020《标准化工作导则</w:t>
      </w:r>
      <w:r>
        <w:rPr>
          <w:rFonts w:ascii="Times New Roman"/>
        </w:rPr>
        <w:t> </w:t>
      </w:r>
      <w:r>
        <w:rPr>
          <w:rFonts w:hAnsi="宋体"/>
        </w:rPr>
        <w:t>第</w:t>
      </w:r>
      <w:r>
        <w:t> </w:t>
      </w:r>
      <w:r>
        <w:rPr>
          <w:rFonts w:hAnsi="宋体"/>
        </w:rPr>
        <w:t>1</w:t>
      </w:r>
      <w:r>
        <w:t> </w:t>
      </w:r>
      <w:r>
        <w:rPr>
          <w:rFonts w:hAnsi="宋体"/>
        </w:rPr>
        <w:t>部分：</w:t>
      </w:r>
      <w:r>
        <w:rPr>
          <w:rFonts w:hint="eastAsia" w:hAnsi="宋体"/>
        </w:rPr>
        <w:t>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为贯彻《中华人民共和国环境保护法》，加强电磁环境管理，保障公众健康，规范电磁辐射环境自动监测，制定本文件。</w:t>
      </w:r>
    </w:p>
    <w:p>
      <w:pPr>
        <w:pStyle w:val="57"/>
        <w:ind w:firstLine="420"/>
      </w:pPr>
      <w:r>
        <w:rPr>
          <w:rFonts w:hint="eastAsia"/>
        </w:rPr>
        <w:t>本文件规定了电磁辐射环境自动监测的通用要求、点位布设、监测系统、数据应用、运维管理、质量保证等技术要求。</w:t>
      </w:r>
    </w:p>
    <w:p>
      <w:pPr>
        <w:pStyle w:val="57"/>
        <w:ind w:firstLine="420"/>
      </w:pPr>
      <w:r>
        <w:rPr>
          <w:rFonts w:hint="eastAsia"/>
        </w:rPr>
        <w:t>本文件由广东省环境辐射监测与核应急响应技术支持中心提出。</w:t>
      </w:r>
    </w:p>
    <w:p>
      <w:pPr>
        <w:pStyle w:val="57"/>
        <w:ind w:firstLine="420"/>
      </w:pPr>
      <w:r>
        <w:rPr>
          <w:rFonts w:hint="eastAsia"/>
        </w:rPr>
        <w:t>本文件由广东省辐射防护协会归口。</w:t>
      </w:r>
    </w:p>
    <w:p>
      <w:pPr>
        <w:pStyle w:val="57"/>
        <w:ind w:firstLine="420"/>
      </w:pPr>
      <w:r>
        <w:rPr>
          <w:rFonts w:hint="eastAsia"/>
        </w:rPr>
        <w:t>本文件起草单位：广东省环境辐射监测与核应急响应技术支持中心、广东省核工业地质局辐射环境监测中心、广东智环创新环境科技有限公司、北京森馥科技股份有限公司。</w:t>
      </w:r>
    </w:p>
    <w:p>
      <w:pPr>
        <w:pStyle w:val="57"/>
        <w:ind w:firstLine="420"/>
      </w:pPr>
      <w:r>
        <w:rPr>
          <w:rFonts w:hint="eastAsia"/>
        </w:rPr>
        <w:t>本文件主要起草人：王战勇、汤泽平、李思航、温海涛、朱琨、郭祖美、胡可义、何海明、李健晖、李华琴、李占优、温丽容、彭碧琪、孙捷颖、宁健、谢平展。</w:t>
      </w:r>
    </w:p>
    <w:p>
      <w:pPr>
        <w:pStyle w:val="57"/>
        <w:ind w:firstLine="420"/>
        <w:sectPr>
          <w:pgSz w:w="11906" w:h="16838"/>
          <w:pgMar w:top="1928" w:right="1134" w:bottom="1134" w:left="1134" w:header="1418" w:footer="1134" w:gutter="284"/>
          <w:pgNumType w:fmt="upperRoman"/>
          <w:cols w:space="425" w:num="1"/>
          <w:formProt w:val="0"/>
          <w:docGrid w:linePitch="312" w:charSpace="0"/>
        </w:sectPr>
      </w:pPr>
      <w:r>
        <w:rPr>
          <w:rFonts w:hint="eastAsia"/>
        </w:rPr>
        <w:t>本文件为首次发布。</w:t>
      </w:r>
    </w:p>
    <w:bookmarkEnd w:id="10"/>
    <w:p>
      <w:pPr>
        <w:spacing w:line="20" w:lineRule="exact"/>
        <w:jc w:val="center"/>
        <w:rPr>
          <w:rFonts w:ascii="黑体" w:hAnsi="黑体" w:eastAsia="黑体"/>
          <w:sz w:val="32"/>
          <w:szCs w:val="32"/>
        </w:rPr>
      </w:pPr>
      <w:bookmarkStart w:id="11" w:name="BookMark4"/>
    </w:p>
    <w:p>
      <w:pPr>
        <w:spacing w:line="20" w:lineRule="exact"/>
        <w:jc w:val="center"/>
        <w:rPr>
          <w:rFonts w:ascii="黑体" w:hAnsi="黑体" w:eastAsia="黑体"/>
          <w:sz w:val="32"/>
          <w:szCs w:val="32"/>
        </w:rPr>
      </w:pPr>
    </w:p>
    <w:sdt>
      <w:sdtPr>
        <w:tag w:val="NEW_STAND_NAME"/>
        <w:id w:val="595910757"/>
        <w:lock w:val="sdtLocked"/>
        <w:placeholder>
          <w:docPart w:val="7B5EDE6E297F4D4491B709AE8B8F8CB6"/>
        </w:placeholder>
      </w:sdtPr>
      <w:sdtContent>
        <w:p>
          <w:pPr>
            <w:pStyle w:val="178"/>
            <w:spacing w:before="2" w:beforeLines="1" w:after="528" w:afterLines="220"/>
          </w:pPr>
          <w:bookmarkStart w:id="12" w:name="NEW_STAND_NAME"/>
          <w:r>
            <w:rPr>
              <w:rFonts w:hint="eastAsia"/>
            </w:rPr>
            <w:t>电磁辐射环境自动监测技术规范</w:t>
          </w:r>
        </w:p>
      </w:sdtContent>
    </w:sdt>
    <w:bookmarkEnd w:id="12"/>
    <w:p>
      <w:pPr>
        <w:pStyle w:val="105"/>
        <w:spacing w:before="240" w:after="240"/>
      </w:pPr>
      <w:bookmarkStart w:id="13" w:name="_Toc26648465"/>
      <w:bookmarkStart w:id="14" w:name="_Toc26718930"/>
      <w:bookmarkStart w:id="15" w:name="_Toc97192964"/>
      <w:bookmarkStart w:id="16" w:name="_Toc26986771"/>
      <w:bookmarkStart w:id="17" w:name="_Toc165885578"/>
      <w:bookmarkStart w:id="18" w:name="_Toc24884211"/>
      <w:bookmarkStart w:id="19" w:name="_Toc24884218"/>
      <w:bookmarkStart w:id="20" w:name="_Toc165887056"/>
      <w:bookmarkStart w:id="21" w:name="_Toc17233333"/>
      <w:bookmarkStart w:id="22" w:name="_Toc17233325"/>
      <w:bookmarkStart w:id="23" w:name="_Toc165908023"/>
      <w:bookmarkStart w:id="24" w:name="_Toc26986530"/>
      <w:bookmarkStart w:id="25" w:name="_Toc8698"/>
      <w:r>
        <w:rPr>
          <w:rFonts w:hint="eastAsia"/>
        </w:rPr>
        <w:t>范围</w:t>
      </w:r>
      <w:bookmarkEnd w:id="13"/>
      <w:bookmarkEnd w:id="14"/>
      <w:bookmarkEnd w:id="15"/>
      <w:bookmarkEnd w:id="16"/>
      <w:bookmarkEnd w:id="17"/>
      <w:bookmarkEnd w:id="18"/>
      <w:bookmarkEnd w:id="19"/>
      <w:bookmarkEnd w:id="20"/>
      <w:bookmarkEnd w:id="21"/>
      <w:bookmarkEnd w:id="22"/>
      <w:bookmarkEnd w:id="23"/>
      <w:bookmarkEnd w:id="24"/>
      <w:bookmarkEnd w:id="25"/>
    </w:p>
    <w:p>
      <w:pPr>
        <w:pStyle w:val="57"/>
        <w:ind w:firstLine="420"/>
      </w:pPr>
      <w:bookmarkStart w:id="26" w:name="_Toc24884219"/>
      <w:bookmarkStart w:id="27" w:name="_Toc26648466"/>
      <w:bookmarkStart w:id="28" w:name="_Toc17233326"/>
      <w:bookmarkStart w:id="29" w:name="_Toc17233334"/>
      <w:bookmarkStart w:id="30" w:name="_Toc24884212"/>
      <w:r>
        <w:rPr>
          <w:rFonts w:hint="eastAsia"/>
        </w:rPr>
        <w:t>本文件规定了电磁辐射环境自动监测的通用要求、点位布设、监测系统、数据应用、运维管理、质量保证等技术要求。</w:t>
      </w:r>
    </w:p>
    <w:p>
      <w:pPr>
        <w:pStyle w:val="57"/>
        <w:ind w:firstLine="420"/>
        <w:rPr>
          <w:rFonts w:hAnsi="宋体"/>
        </w:rPr>
      </w:pPr>
      <w:r>
        <w:rPr>
          <w:rFonts w:hint="eastAsia" w:hAnsi="宋体"/>
        </w:rPr>
        <w:t>本文件适用于电磁环境质量和电磁辐射设施周围电磁辐射环境的自动监测，电磁环境质量监测频</w:t>
      </w:r>
      <w:r>
        <w:rPr>
          <w:rFonts w:hAnsi="宋体"/>
        </w:rPr>
        <w:t>率为</w:t>
      </w:r>
      <w:r>
        <w:t> </w:t>
      </w:r>
      <w:r>
        <w:rPr>
          <w:rFonts w:hAnsi="宋体"/>
        </w:rPr>
        <w:t>1</w:t>
      </w:r>
      <w:r>
        <w:t> </w:t>
      </w:r>
      <w:r>
        <w:rPr>
          <w:rFonts w:hAnsi="宋体"/>
        </w:rPr>
        <w:t>Hz</w:t>
      </w:r>
      <w:r>
        <w:rPr>
          <w:rFonts w:hint="eastAsia" w:hAnsi="宋体"/>
        </w:rPr>
        <w:t>～</w:t>
      </w:r>
      <w:r>
        <w:rPr>
          <w:rFonts w:hAnsi="宋体"/>
        </w:rPr>
        <w:t>6</w:t>
      </w:r>
      <w:r>
        <w:t> </w:t>
      </w:r>
      <w:r>
        <w:rPr>
          <w:rFonts w:hAnsi="宋体"/>
        </w:rPr>
        <w:t>GHz，电磁辐射设施包括交流输变电工程、广播电视发射台、移动通信基站和雷达等。</w:t>
      </w:r>
    </w:p>
    <w:p>
      <w:pPr>
        <w:pStyle w:val="105"/>
        <w:spacing w:before="240" w:after="240"/>
      </w:pPr>
      <w:bookmarkStart w:id="31" w:name="_Toc26986772"/>
      <w:bookmarkStart w:id="32" w:name="_Toc97192965"/>
      <w:bookmarkStart w:id="33" w:name="_Toc165887057"/>
      <w:bookmarkStart w:id="34" w:name="_Toc26718931"/>
      <w:bookmarkStart w:id="35" w:name="_Toc165885579"/>
      <w:bookmarkStart w:id="36" w:name="_Toc26986531"/>
      <w:bookmarkStart w:id="37" w:name="_Toc165908024"/>
      <w:bookmarkStart w:id="38" w:name="_Toc10172"/>
      <w:r>
        <w:rPr>
          <w:rFonts w:hint="eastAsia"/>
        </w:rPr>
        <w:t>规范性引用文件</w:t>
      </w:r>
      <w:bookmarkEnd w:id="26"/>
      <w:bookmarkEnd w:id="27"/>
      <w:bookmarkEnd w:id="28"/>
      <w:bookmarkEnd w:id="29"/>
      <w:bookmarkEnd w:id="30"/>
      <w:bookmarkEnd w:id="31"/>
      <w:bookmarkEnd w:id="32"/>
      <w:bookmarkEnd w:id="33"/>
      <w:bookmarkEnd w:id="34"/>
      <w:bookmarkEnd w:id="35"/>
      <w:bookmarkEnd w:id="36"/>
      <w:bookmarkEnd w:id="37"/>
      <w:bookmarkEnd w:id="38"/>
    </w:p>
    <w:sdt>
      <w:sdtPr>
        <w:rPr>
          <w:rFonts w:hint="eastAsia"/>
        </w:rPr>
        <w:id w:val="715848253"/>
        <w:placeholder>
          <w:docPart w:val="0E25C92EA4814643895EE6B90A87439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rFonts w:hAnsi="宋体"/>
        </w:rPr>
      </w:pPr>
      <w:r>
        <w:rPr>
          <w:rFonts w:hAnsi="宋体"/>
        </w:rPr>
        <w:t>GB 8702</w:t>
      </w:r>
      <w:r>
        <w:rPr>
          <w:rStyle w:val="33"/>
          <w:rFonts w:hint="eastAsia"/>
        </w:rPr>
        <w:t>　</w:t>
      </w:r>
      <w:r>
        <w:rPr>
          <w:rFonts w:hAnsi="宋体"/>
        </w:rPr>
        <w:t>电磁环境控制限值</w:t>
      </w:r>
    </w:p>
    <w:p>
      <w:pPr>
        <w:pStyle w:val="57"/>
        <w:ind w:firstLine="420"/>
        <w:rPr>
          <w:rFonts w:hAnsi="宋体"/>
        </w:rPr>
      </w:pPr>
      <w:r>
        <w:rPr>
          <w:rFonts w:hAnsi="宋体"/>
        </w:rPr>
        <w:t>GB/T 4208</w:t>
      </w:r>
      <w:r>
        <w:rPr>
          <w:rStyle w:val="33"/>
          <w:rFonts w:hint="eastAsia"/>
        </w:rPr>
        <w:t>　</w:t>
      </w:r>
      <w:r>
        <w:rPr>
          <w:rFonts w:hAnsi="宋体"/>
        </w:rPr>
        <w:t>外壳防护等级（IP</w:t>
      </w:r>
      <w:r>
        <w:t> </w:t>
      </w:r>
      <w:r>
        <w:rPr>
          <w:rFonts w:hAnsi="宋体"/>
        </w:rPr>
        <w:t>代码）</w:t>
      </w:r>
    </w:p>
    <w:p>
      <w:pPr>
        <w:pStyle w:val="57"/>
        <w:ind w:firstLine="420"/>
        <w:rPr>
          <w:rFonts w:hAnsi="宋体"/>
        </w:rPr>
      </w:pPr>
      <w:r>
        <w:rPr>
          <w:rFonts w:hAnsi="宋体"/>
        </w:rPr>
        <w:t>GB/T 8170</w:t>
      </w:r>
      <w:r>
        <w:rPr>
          <w:rStyle w:val="33"/>
          <w:rFonts w:hint="eastAsia"/>
        </w:rPr>
        <w:t>　</w:t>
      </w:r>
      <w:r>
        <w:rPr>
          <w:rFonts w:hAnsi="宋体"/>
        </w:rPr>
        <w:t>数值修约规则与极限数值的表示和判定</w:t>
      </w:r>
    </w:p>
    <w:p>
      <w:pPr>
        <w:pStyle w:val="57"/>
        <w:ind w:firstLine="420"/>
        <w:rPr>
          <w:rFonts w:hint="eastAsia" w:hAnsi="宋体"/>
        </w:rPr>
      </w:pPr>
      <w:r>
        <w:rPr>
          <w:rFonts w:hint="eastAsia" w:hAnsi="宋体"/>
        </w:rPr>
        <w:t>GB 17626.2</w:t>
      </w:r>
      <w:r>
        <w:rPr>
          <w:rStyle w:val="33"/>
          <w:rFonts w:hint="eastAsia"/>
        </w:rPr>
        <w:t>　</w:t>
      </w:r>
      <w:r>
        <w:rPr>
          <w:rFonts w:hint="eastAsia" w:hAnsi="宋体"/>
        </w:rPr>
        <w:t>电磁兼容 试验和测量技术 静电放电抗扰度试验</w:t>
      </w:r>
    </w:p>
    <w:p>
      <w:pPr>
        <w:pStyle w:val="57"/>
        <w:ind w:firstLine="420"/>
        <w:rPr>
          <w:rFonts w:hint="eastAsia" w:hAnsi="宋体"/>
        </w:rPr>
      </w:pPr>
      <w:r>
        <w:rPr>
          <w:rFonts w:hint="eastAsia" w:hAnsi="宋体"/>
        </w:rPr>
        <w:t>GB 17626</w:t>
      </w:r>
      <w:r>
        <w:rPr>
          <w:rFonts w:hint="eastAsia" w:hAnsi="宋体"/>
          <w:lang w:val="en-US" w:eastAsia="zh-CN"/>
        </w:rPr>
        <w:t>.4</w:t>
      </w:r>
      <w:r>
        <w:rPr>
          <w:rStyle w:val="33"/>
          <w:rFonts w:hint="eastAsia"/>
        </w:rPr>
        <w:t>　</w:t>
      </w:r>
      <w:r>
        <w:rPr>
          <w:rFonts w:hint="eastAsia" w:hAnsi="宋体"/>
        </w:rPr>
        <w:t>电磁兼容</w:t>
      </w:r>
      <w:r>
        <w:rPr>
          <w:rFonts w:hint="eastAsia" w:hAnsi="宋体"/>
          <w:lang w:val="en-US" w:eastAsia="zh-CN"/>
        </w:rPr>
        <w:t xml:space="preserve"> </w:t>
      </w:r>
      <w:r>
        <w:rPr>
          <w:rFonts w:hint="eastAsia" w:hAnsi="宋体"/>
        </w:rPr>
        <w:t>试验和测量技术</w:t>
      </w:r>
      <w:r>
        <w:rPr>
          <w:rFonts w:hint="eastAsia" w:hAnsi="宋体"/>
          <w:lang w:val="en-US" w:eastAsia="zh-CN"/>
        </w:rPr>
        <w:t xml:space="preserve"> </w:t>
      </w:r>
      <w:r>
        <w:rPr>
          <w:rFonts w:hint="eastAsia" w:hAnsi="宋体"/>
        </w:rPr>
        <w:t>电快速瞬变脉冲群抗扰度试验</w:t>
      </w:r>
    </w:p>
    <w:p>
      <w:pPr>
        <w:pStyle w:val="57"/>
        <w:ind w:firstLine="420"/>
        <w:rPr>
          <w:rFonts w:hint="default" w:hAnsi="宋体"/>
          <w:lang w:val="en-US" w:eastAsia="zh-CN"/>
        </w:rPr>
      </w:pPr>
      <w:r>
        <w:rPr>
          <w:rFonts w:hint="eastAsia" w:hAnsi="宋体"/>
        </w:rPr>
        <w:t>GB 17626</w:t>
      </w:r>
      <w:r>
        <w:rPr>
          <w:rFonts w:hint="eastAsia" w:hAnsi="宋体"/>
          <w:lang w:val="en-US" w:eastAsia="zh-CN"/>
        </w:rPr>
        <w:t>.5</w:t>
      </w:r>
      <w:r>
        <w:rPr>
          <w:rStyle w:val="33"/>
          <w:rFonts w:hint="eastAsia"/>
        </w:rPr>
        <w:t>　</w:t>
      </w:r>
      <w:r>
        <w:rPr>
          <w:rFonts w:hint="default" w:hAnsi="宋体"/>
          <w:lang w:val="en-US" w:eastAsia="zh-CN"/>
        </w:rPr>
        <w:t>电磁兼容 试验和测量</w:t>
      </w:r>
      <w:r>
        <w:rPr>
          <w:rFonts w:hint="eastAsia" w:hAnsi="宋体"/>
          <w:lang w:val="en-US" w:eastAsia="zh-CN"/>
        </w:rPr>
        <w:t xml:space="preserve"> </w:t>
      </w:r>
      <w:r>
        <w:rPr>
          <w:rFonts w:hint="default" w:hAnsi="宋体"/>
          <w:lang w:val="en-US" w:eastAsia="zh-CN"/>
        </w:rPr>
        <w:t>技术浪涌(冲击)抗扰度试验</w:t>
      </w:r>
    </w:p>
    <w:p>
      <w:pPr>
        <w:pStyle w:val="57"/>
        <w:ind w:firstLine="420"/>
        <w:rPr>
          <w:rFonts w:hint="default" w:hAnsi="宋体"/>
          <w:lang w:val="en-US" w:eastAsia="zh-CN"/>
        </w:rPr>
      </w:pPr>
      <w:r>
        <w:rPr>
          <w:rFonts w:hint="eastAsia" w:hAnsi="宋体"/>
        </w:rPr>
        <w:t>GB 17626</w:t>
      </w:r>
      <w:r>
        <w:rPr>
          <w:rFonts w:hint="eastAsia" w:hAnsi="宋体"/>
          <w:lang w:val="en-US" w:eastAsia="zh-CN"/>
        </w:rPr>
        <w:t>.6</w:t>
      </w:r>
      <w:r>
        <w:rPr>
          <w:rStyle w:val="33"/>
          <w:rFonts w:hint="eastAsia"/>
        </w:rPr>
        <w:t>　</w:t>
      </w:r>
      <w:r>
        <w:rPr>
          <w:rFonts w:hint="default" w:hAnsi="宋体"/>
          <w:lang w:val="en-US" w:eastAsia="zh-CN"/>
        </w:rPr>
        <w:t>电磁兼容</w:t>
      </w:r>
      <w:r>
        <w:rPr>
          <w:rFonts w:hint="eastAsia" w:hAnsi="宋体"/>
          <w:lang w:val="en-US" w:eastAsia="zh-CN"/>
        </w:rPr>
        <w:t xml:space="preserve"> </w:t>
      </w:r>
      <w:r>
        <w:rPr>
          <w:rFonts w:hint="default" w:hAnsi="宋体"/>
          <w:lang w:val="en-US" w:eastAsia="zh-CN"/>
        </w:rPr>
        <w:t>试验和测量技术</w:t>
      </w:r>
      <w:r>
        <w:rPr>
          <w:rFonts w:hint="eastAsia" w:hAnsi="宋体"/>
          <w:lang w:val="en-US" w:eastAsia="zh-CN"/>
        </w:rPr>
        <w:t xml:space="preserve"> </w:t>
      </w:r>
      <w:r>
        <w:rPr>
          <w:rFonts w:hint="default" w:hAnsi="宋体"/>
          <w:lang w:val="en-US" w:eastAsia="zh-CN"/>
        </w:rPr>
        <w:t>射频场感应的传导骚扰抗扰度</w:t>
      </w:r>
    </w:p>
    <w:p>
      <w:pPr>
        <w:pStyle w:val="57"/>
        <w:ind w:firstLine="420"/>
        <w:rPr>
          <w:rFonts w:hAnsi="宋体"/>
        </w:rPr>
      </w:pPr>
      <w:r>
        <w:rPr>
          <w:rFonts w:hAnsi="宋体"/>
        </w:rPr>
        <w:t>HJ 681</w:t>
      </w:r>
      <w:r>
        <w:rPr>
          <w:rStyle w:val="33"/>
          <w:rFonts w:hint="eastAsia"/>
        </w:rPr>
        <w:t>　</w:t>
      </w:r>
      <w:r>
        <w:rPr>
          <w:rFonts w:hAnsi="宋体"/>
        </w:rPr>
        <w:t>交流输变电工程电磁环境监测方法（试行）</w:t>
      </w:r>
    </w:p>
    <w:p>
      <w:pPr>
        <w:pStyle w:val="57"/>
        <w:ind w:firstLine="420"/>
        <w:rPr>
          <w:rFonts w:hAnsi="宋体"/>
        </w:rPr>
      </w:pPr>
      <w:r>
        <w:rPr>
          <w:rFonts w:hAnsi="宋体"/>
        </w:rPr>
        <w:t>HJ 1349</w:t>
      </w:r>
      <w:r>
        <w:rPr>
          <w:rStyle w:val="33"/>
          <w:rFonts w:hint="eastAsia"/>
        </w:rPr>
        <w:t>　</w:t>
      </w:r>
      <w:r>
        <w:rPr>
          <w:rFonts w:hAnsi="宋体"/>
        </w:rPr>
        <w:t>区域电磁环境调查与评估方法（试行）</w:t>
      </w:r>
    </w:p>
    <w:p>
      <w:pPr>
        <w:pStyle w:val="57"/>
        <w:ind w:firstLine="420"/>
        <w:rPr>
          <w:rFonts w:hint="default" w:hAnsi="宋体" w:eastAsia="宋体"/>
          <w:lang w:val="en-US" w:eastAsia="zh-CN"/>
        </w:rPr>
      </w:pPr>
      <w:r>
        <w:rPr>
          <w:rFonts w:hint="eastAsia"/>
          <w:lang w:val="en-US" w:eastAsia="zh-CN"/>
        </w:rPr>
        <w:t>HJ 212</w:t>
      </w:r>
      <w:r>
        <w:rPr>
          <w:rStyle w:val="33"/>
          <w:rFonts w:hint="eastAsia"/>
        </w:rPr>
        <w:t>　</w:t>
      </w:r>
      <w:r>
        <w:rPr>
          <w:rFonts w:hint="eastAsia"/>
          <w:lang w:val="en-US" w:eastAsia="zh-CN"/>
        </w:rPr>
        <w:t>污染物在线监控（监测）系统数据传输标准</w:t>
      </w:r>
    </w:p>
    <w:p>
      <w:pPr>
        <w:pStyle w:val="105"/>
        <w:spacing w:before="240" w:after="240"/>
      </w:pPr>
      <w:bookmarkStart w:id="39" w:name="_Toc165908025"/>
      <w:bookmarkStart w:id="40" w:name="_Toc165885580"/>
      <w:bookmarkStart w:id="41" w:name="_Toc97192966"/>
      <w:bookmarkStart w:id="42" w:name="_Toc165887058"/>
      <w:bookmarkStart w:id="43" w:name="_Toc30595"/>
      <w:r>
        <w:rPr>
          <w:rFonts w:hint="eastAsia"/>
          <w:szCs w:val="21"/>
        </w:rPr>
        <w:t>术语和定义</w:t>
      </w:r>
      <w:bookmarkEnd w:id="39"/>
      <w:bookmarkEnd w:id="40"/>
      <w:bookmarkEnd w:id="41"/>
      <w:bookmarkEnd w:id="42"/>
      <w:bookmarkEnd w:id="43"/>
    </w:p>
    <w:sdt>
      <w:sdtPr>
        <w:id w:val="-1909835108"/>
        <w:placeholder>
          <w:docPart w:val="B05B095F9F2340F9B561446B1C87942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4" w:name="_Toc26986532"/>
          <w:bookmarkEnd w:id="44"/>
          <w:r>
            <w:t>下列术语和定义适用于本文件。</w:t>
          </w:r>
        </w:p>
      </w:sdtContent>
    </w:sdt>
    <w:p>
      <w:pPr>
        <w:pStyle w:val="224"/>
        <w:ind w:left="420" w:hanging="420" w:hangingChars="200"/>
        <w:rPr>
          <w:rFonts w:ascii="黑体" w:hAnsi="黑体" w:eastAsia="黑体"/>
        </w:rPr>
      </w:pPr>
      <w:r>
        <w:rPr>
          <w:rFonts w:ascii="黑体" w:hAnsi="黑体" w:eastAsia="黑体"/>
        </w:rPr>
        <w:br w:type="textWrapping"/>
      </w:r>
      <w:r>
        <w:rPr>
          <w:rFonts w:ascii="黑体" w:hAnsi="黑体" w:eastAsia="黑体"/>
        </w:rPr>
        <w:t>电磁辐射环境自动监测 electromagnetic radiation environmental automatic monitoring</w:t>
      </w:r>
    </w:p>
    <w:p>
      <w:pPr>
        <w:pStyle w:val="57"/>
        <w:ind w:firstLine="420"/>
      </w:pPr>
      <w:r>
        <w:t>采用连续自动监测设备对电磁环境质量或电磁辐射设施进行监测、处理和分析的过程。电磁辐射环境自动监测</w:t>
      </w:r>
      <w:r>
        <w:rPr>
          <w:rFonts w:hint="eastAsia"/>
        </w:rPr>
        <w:t>包括电磁环境质量自动监测和电磁辐射设施自动监测。</w:t>
      </w:r>
    </w:p>
    <w:p>
      <w:pPr>
        <w:pStyle w:val="224"/>
        <w:ind w:left="420" w:hanging="420" w:hangingChars="200"/>
        <w:rPr>
          <w:rFonts w:ascii="黑体" w:hAnsi="黑体" w:eastAsia="黑体"/>
        </w:rPr>
      </w:pPr>
      <w:bookmarkStart w:id="45" w:name="_Toc165908026"/>
      <w:bookmarkEnd w:id="45"/>
      <w:bookmarkStart w:id="46" w:name="_Toc160539342"/>
      <w:bookmarkEnd w:id="46"/>
      <w:r>
        <w:rPr>
          <w:rFonts w:ascii="黑体" w:hAnsi="黑体" w:eastAsia="黑体"/>
        </w:rPr>
        <w:br w:type="textWrapping"/>
      </w:r>
      <w:r>
        <w:rPr>
          <w:rFonts w:ascii="黑体" w:hAnsi="黑体" w:eastAsia="黑体"/>
        </w:rPr>
        <w:t>电磁环境质量自动监测 electromagnetic radiation environmental quality automatic monitoring</w:t>
      </w:r>
    </w:p>
    <w:p>
      <w:pPr>
        <w:pStyle w:val="57"/>
        <w:ind w:firstLine="420"/>
      </w:pPr>
      <w:r>
        <w:t>为全面、准确、及时地反映特定区域内</w:t>
      </w:r>
      <w:r>
        <w:rPr>
          <w:rFonts w:hint="eastAsia" w:ascii="MS Mincho" w:hAnsi="MS Mincho" w:eastAsia="MS Mincho" w:cs="MS Mincho"/>
        </w:rPr>
        <w:t> </w:t>
      </w:r>
      <w:r>
        <w:t>1</w:t>
      </w:r>
      <w:r>
        <w:rPr>
          <w:rFonts w:hint="eastAsia" w:ascii="MS Mincho" w:hAnsi="MS Mincho" w:eastAsia="MS Mincho" w:cs="MS Mincho"/>
        </w:rPr>
        <w:t> </w:t>
      </w:r>
      <w:r>
        <w:t>Hz～6</w:t>
      </w:r>
      <w:r>
        <w:rPr>
          <w:rFonts w:hint="eastAsia" w:ascii="MS Mincho" w:hAnsi="MS Mincho" w:eastAsia="MS Mincho" w:cs="MS Mincho"/>
        </w:rPr>
        <w:t> </w:t>
      </w:r>
      <w:r>
        <w:t>GHz</w:t>
      </w:r>
      <w:r>
        <w:rPr>
          <w:rFonts w:hint="eastAsia" w:ascii="MS Mincho" w:hAnsi="MS Mincho" w:eastAsia="MS Mincho" w:cs="MS Mincho"/>
        </w:rPr>
        <w:t> </w:t>
      </w:r>
      <w:r>
        <w:t>电磁环境质量现状及变化趋势</w:t>
      </w:r>
      <w:r>
        <w:rPr>
          <w:rFonts w:hint="eastAsia"/>
        </w:rPr>
        <w:t>，</w:t>
      </w:r>
      <w:r>
        <w:t>采用连续自动监测设备开展的环境监测。</w:t>
      </w:r>
    </w:p>
    <w:p>
      <w:pPr>
        <w:pStyle w:val="224"/>
        <w:ind w:left="420" w:hanging="420" w:hangingChars="200"/>
        <w:rPr>
          <w:rFonts w:ascii="黑体" w:hAnsi="黑体" w:eastAsia="黑体"/>
        </w:rPr>
      </w:pPr>
      <w:bookmarkStart w:id="47" w:name="_Toc160539343"/>
      <w:bookmarkEnd w:id="47"/>
      <w:bookmarkStart w:id="48" w:name="_Toc165908027"/>
      <w:bookmarkEnd w:id="48"/>
      <w:r>
        <w:rPr>
          <w:rFonts w:ascii="黑体" w:hAnsi="黑体" w:eastAsia="黑体"/>
        </w:rPr>
        <w:br w:type="textWrapping"/>
      </w:r>
      <w:r>
        <w:rPr>
          <w:rFonts w:ascii="黑体" w:hAnsi="黑体" w:eastAsia="黑体"/>
        </w:rPr>
        <w:t>电磁辐射设施自动监测 electromagnetic radiation source environmental automatic monitoring</w:t>
      </w:r>
    </w:p>
    <w:p>
      <w:pPr>
        <w:pStyle w:val="57"/>
        <w:ind w:firstLine="420"/>
      </w:pPr>
      <w:r>
        <w:t>为</w:t>
      </w:r>
      <w:r>
        <w:rPr>
          <w:rFonts w:hint="eastAsia"/>
        </w:rPr>
        <w:t>掌握</w:t>
      </w:r>
      <w:r>
        <w:t>电磁辐射设施</w:t>
      </w:r>
      <w:r>
        <w:rPr>
          <w:rFonts w:hint="eastAsia"/>
        </w:rPr>
        <w:t>周围电磁辐射水平及变化趋势，</w:t>
      </w:r>
      <w:r>
        <w:t>采用连续自动监测设备开展的环境监测。</w:t>
      </w:r>
    </w:p>
    <w:p>
      <w:pPr>
        <w:pStyle w:val="105"/>
        <w:spacing w:before="240" w:after="240"/>
      </w:pPr>
      <w:bookmarkStart w:id="49" w:name="_Toc165908028"/>
      <w:bookmarkStart w:id="50" w:name="_Toc11387"/>
      <w:r>
        <w:rPr>
          <w:rFonts w:hint="eastAsia"/>
        </w:rPr>
        <w:t>通用要求</w:t>
      </w:r>
      <w:bookmarkEnd w:id="49"/>
      <w:bookmarkEnd w:id="50"/>
    </w:p>
    <w:p>
      <w:pPr>
        <w:pStyle w:val="106"/>
        <w:spacing w:before="120" w:after="120"/>
      </w:pPr>
      <w:bookmarkStart w:id="51" w:name="_Toc165908029"/>
      <w:r>
        <w:rPr>
          <w:rFonts w:hint="eastAsia"/>
        </w:rPr>
        <w:t>基本功能要求</w:t>
      </w:r>
      <w:bookmarkEnd w:id="51"/>
    </w:p>
    <w:p>
      <w:pPr>
        <w:pStyle w:val="166"/>
        <w:rPr>
          <w:rFonts w:hAnsi="宋体"/>
        </w:rPr>
      </w:pPr>
      <w:r>
        <w:rPr>
          <w:rFonts w:hint="eastAsia" w:hAnsi="宋体"/>
        </w:rPr>
        <w:t>电磁辐射环境自动监测系统的工作频带和量程应满足待测场要求。</w:t>
      </w:r>
    </w:p>
    <w:p>
      <w:pPr>
        <w:pStyle w:val="166"/>
        <w:rPr>
          <w:rFonts w:hAnsi="宋体"/>
        </w:rPr>
      </w:pPr>
      <w:r>
        <w:rPr>
          <w:rFonts w:hAnsi="宋体"/>
        </w:rPr>
        <w:t>在</w:t>
      </w:r>
      <w:r>
        <w:t> </w:t>
      </w:r>
      <w:r>
        <w:rPr>
          <w:rFonts w:hAnsi="宋体"/>
        </w:rPr>
        <w:t>100</w:t>
      </w:r>
      <w:r>
        <w:t> </w:t>
      </w:r>
      <w:r>
        <w:rPr>
          <w:rFonts w:hAnsi="宋体"/>
        </w:rPr>
        <w:t>kHz</w:t>
      </w:r>
      <w:r>
        <w:rPr>
          <w:rFonts w:hint="eastAsia" w:hAnsi="宋体"/>
          <w:color w:val="333333"/>
          <w:shd w:val="clear" w:color="auto" w:fill="FFFFFF"/>
        </w:rPr>
        <w:t>～</w:t>
      </w:r>
      <w:r>
        <w:rPr>
          <w:rFonts w:hAnsi="宋体"/>
        </w:rPr>
        <w:t>6</w:t>
      </w:r>
      <w:r>
        <w:t> </w:t>
      </w:r>
      <w:r>
        <w:rPr>
          <w:rFonts w:hAnsi="宋体"/>
        </w:rPr>
        <w:t>GHz频率范围的电磁环境质量评估应满足</w:t>
      </w:r>
      <w:r>
        <w:t> </w:t>
      </w:r>
      <w:r>
        <w:rPr>
          <w:rFonts w:hAnsi="宋体"/>
        </w:rPr>
        <w:t>GB 8702</w:t>
      </w:r>
      <w:r>
        <w:t> </w:t>
      </w:r>
      <w:r>
        <w:rPr>
          <w:rFonts w:hAnsi="宋体"/>
        </w:rPr>
        <w:t>和</w:t>
      </w:r>
      <w:r>
        <w:t> </w:t>
      </w:r>
      <w:r>
        <w:rPr>
          <w:rFonts w:hAnsi="宋体"/>
        </w:rPr>
        <w:t>HJ 1349</w:t>
      </w:r>
      <w:r>
        <w:t> </w:t>
      </w:r>
      <w:r>
        <w:rPr>
          <w:rFonts w:hAnsi="宋体"/>
        </w:rPr>
        <w:t>的要求。</w:t>
      </w:r>
    </w:p>
    <w:p>
      <w:pPr>
        <w:pStyle w:val="106"/>
        <w:spacing w:before="120" w:after="120"/>
      </w:pPr>
      <w:bookmarkStart w:id="52" w:name="_Toc165908030"/>
      <w:r>
        <w:rPr>
          <w:rFonts w:hint="eastAsia"/>
        </w:rPr>
        <w:t>监测高度</w:t>
      </w:r>
      <w:bookmarkEnd w:id="52"/>
    </w:p>
    <w:p>
      <w:pPr>
        <w:pStyle w:val="166"/>
        <w:rPr>
          <w:rFonts w:hAnsi="宋体"/>
        </w:rPr>
      </w:pPr>
      <w:r>
        <w:rPr>
          <w:rFonts w:hAnsi="宋体"/>
        </w:rPr>
        <w:t>电磁环境质量自动监测：工频电磁环境质量监测设备的探头应架设在地面（或立足平面）上方</w:t>
      </w:r>
      <w:r>
        <w:rPr>
          <w:rFonts w:hint="eastAsia" w:ascii="MS Mincho" w:hAnsi="MS Mincho" w:eastAsia="MS Mincho" w:cs="MS Mincho"/>
        </w:rPr>
        <w:t> </w:t>
      </w:r>
      <w:r>
        <w:rPr>
          <w:rFonts w:hAnsi="宋体"/>
        </w:rPr>
        <w:t>1.5</w:t>
      </w:r>
      <w:r>
        <w:t> </w:t>
      </w:r>
      <w:r>
        <w:rPr>
          <w:rFonts w:hAnsi="宋体"/>
        </w:rPr>
        <w:t>m</w:t>
      </w:r>
      <w:r>
        <w:t> </w:t>
      </w:r>
      <w:r>
        <w:rPr>
          <w:rFonts w:hAnsi="宋体"/>
        </w:rPr>
        <w:t>处；射频电磁场环境质量监测设备的探头应架设在地面（或立足平面）上方</w:t>
      </w:r>
      <w:r>
        <w:t> </w:t>
      </w:r>
      <w:r>
        <w:rPr>
          <w:rFonts w:hAnsi="宋体"/>
        </w:rPr>
        <w:t>1.7</w:t>
      </w:r>
      <w:r>
        <w:t> </w:t>
      </w:r>
      <w:r>
        <w:rPr>
          <w:rFonts w:hAnsi="宋体"/>
        </w:rPr>
        <w:t>m</w:t>
      </w:r>
      <w:r>
        <w:t> </w:t>
      </w:r>
      <w:r>
        <w:rPr>
          <w:rFonts w:hAnsi="宋体"/>
        </w:rPr>
        <w:t>处。也可根据不同目的选择监测高度，同时说明原因。</w:t>
      </w:r>
    </w:p>
    <w:p>
      <w:pPr>
        <w:pStyle w:val="166"/>
        <w:rPr>
          <w:rFonts w:hAnsi="宋体"/>
        </w:rPr>
      </w:pPr>
      <w:r>
        <w:rPr>
          <w:rFonts w:hint="eastAsia" w:hAnsi="宋体"/>
        </w:rPr>
        <w:t>电磁辐射设施自动监测：交流输变电工程自动监测设备的探头应架设在地面（或立足平面）上方</w:t>
      </w:r>
      <w:r>
        <w:t> </w:t>
      </w:r>
      <w:r>
        <w:rPr>
          <w:rFonts w:hint="eastAsia" w:hAnsi="宋体"/>
        </w:rPr>
        <w:t>1.5</w:t>
      </w:r>
      <w:r>
        <w:t> </w:t>
      </w:r>
      <w:r>
        <w:rPr>
          <w:rFonts w:hint="eastAsia" w:hAnsi="宋体"/>
        </w:rPr>
        <w:t>m</w:t>
      </w:r>
      <w:r>
        <w:t> </w:t>
      </w:r>
      <w:r>
        <w:rPr>
          <w:rFonts w:hint="eastAsia" w:hAnsi="宋体"/>
        </w:rPr>
        <w:t>处；广播电视发射台、移动通信基站和雷达等射频电磁辐射设施自动监测设备的探头应架设在地面（或立足平面）上方</w:t>
      </w:r>
      <w:r>
        <w:t> </w:t>
      </w:r>
      <w:r>
        <w:rPr>
          <w:rFonts w:hint="eastAsia" w:hAnsi="宋体"/>
        </w:rPr>
        <w:t>1.7</w:t>
      </w:r>
      <w:r>
        <w:t> </w:t>
      </w:r>
      <w:r>
        <w:rPr>
          <w:rFonts w:hint="eastAsia" w:hAnsi="宋体"/>
        </w:rPr>
        <w:t>m</w:t>
      </w:r>
      <w:r>
        <w:t> </w:t>
      </w:r>
      <w:r>
        <w:rPr>
          <w:rFonts w:hint="eastAsia" w:hAnsi="宋体"/>
        </w:rPr>
        <w:t>处。</w:t>
      </w:r>
    </w:p>
    <w:p>
      <w:pPr>
        <w:pStyle w:val="106"/>
        <w:spacing w:before="120" w:after="120"/>
      </w:pPr>
      <w:bookmarkStart w:id="53" w:name="_Toc165908031"/>
      <w:r>
        <w:rPr>
          <w:rFonts w:hint="eastAsia"/>
        </w:rPr>
        <w:t>监测因子</w:t>
      </w:r>
      <w:bookmarkEnd w:id="53"/>
    </w:p>
    <w:p>
      <w:pPr>
        <w:pStyle w:val="57"/>
        <w:ind w:firstLine="420"/>
      </w:pPr>
      <w:r>
        <w:rPr>
          <w:rFonts w:hint="eastAsia"/>
        </w:rPr>
        <w:t>电磁辐射环境自动监测的监测因子、监测参数见表</w:t>
      </w:r>
      <w:r>
        <w:rPr>
          <w:rFonts w:ascii="Times New Roman"/>
        </w:rPr>
        <w:t> </w:t>
      </w:r>
      <w:r>
        <w:rPr>
          <w:rFonts w:hint="eastAsia" w:hAnsi="宋体"/>
        </w:rPr>
        <w:t>1</w:t>
      </w:r>
      <w:r>
        <w:rPr>
          <w:rFonts w:hint="eastAsia"/>
        </w:rPr>
        <w:t>。</w:t>
      </w:r>
    </w:p>
    <w:p>
      <w:pPr>
        <w:pStyle w:val="113"/>
        <w:spacing w:before="120" w:after="120"/>
      </w:pPr>
      <w:r>
        <w:rPr>
          <w:rFonts w:hint="eastAsia"/>
        </w:rPr>
        <w:t>电磁辐射环境自动监测监测因子与监测参数</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监测类型</w:t>
            </w:r>
          </w:p>
        </w:tc>
        <w:tc>
          <w:tcPr>
            <w:tcW w:w="18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监测对象</w:t>
            </w:r>
          </w:p>
        </w:tc>
        <w:tc>
          <w:tcPr>
            <w:tcW w:w="18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监测因子</w:t>
            </w:r>
          </w:p>
        </w:tc>
        <w:tc>
          <w:tcPr>
            <w:tcW w:w="18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监测参数</w:t>
            </w:r>
          </w:p>
        </w:tc>
        <w:tc>
          <w:tcPr>
            <w:tcW w:w="18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常用单位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restart"/>
            <w:tcBorders>
              <w:top w:val="single" w:color="auto" w:sz="8" w:space="0"/>
            </w:tcBorders>
            <w:shd w:val="clear" w:color="auto" w:fill="auto"/>
            <w:vAlign w:val="center"/>
          </w:tcPr>
          <w:p>
            <w:pPr>
              <w:pStyle w:val="179"/>
              <w:rPr>
                <w:rFonts w:hAnsi="宋体"/>
                <w:szCs w:val="18"/>
              </w:rPr>
            </w:pPr>
            <w:r>
              <w:rPr>
                <w:rFonts w:hAnsi="宋体"/>
                <w:szCs w:val="18"/>
              </w:rPr>
              <w:t>电磁环境质量</w:t>
            </w:r>
            <w:r>
              <w:rPr>
                <w:rFonts w:hint="eastAsia" w:hAnsi="宋体"/>
                <w:szCs w:val="18"/>
              </w:rPr>
              <w:t>自动</w:t>
            </w:r>
            <w:r>
              <w:rPr>
                <w:rFonts w:hAnsi="宋体"/>
                <w:szCs w:val="18"/>
              </w:rPr>
              <w:t>监测</w:t>
            </w:r>
          </w:p>
        </w:tc>
        <w:tc>
          <w:tcPr>
            <w:tcW w:w="1867" w:type="dxa"/>
            <w:vMerge w:val="restart"/>
            <w:tcBorders>
              <w:top w:val="single" w:color="auto" w:sz="8" w:space="0"/>
            </w:tcBorders>
            <w:shd w:val="clear" w:color="auto" w:fill="auto"/>
            <w:vAlign w:val="center"/>
          </w:tcPr>
          <w:p>
            <w:pPr>
              <w:pStyle w:val="179"/>
              <w:rPr>
                <w:rFonts w:hAnsi="宋体"/>
                <w:szCs w:val="18"/>
              </w:rPr>
            </w:pPr>
            <w:r>
              <w:rPr>
                <w:rFonts w:hAnsi="宋体"/>
                <w:szCs w:val="18"/>
              </w:rPr>
              <w:t>工频电磁环境</w:t>
            </w:r>
          </w:p>
        </w:tc>
        <w:tc>
          <w:tcPr>
            <w:tcW w:w="1867" w:type="dxa"/>
            <w:tcBorders>
              <w:top w:val="single" w:color="auto" w:sz="8" w:space="0"/>
            </w:tcBorders>
            <w:shd w:val="clear" w:color="auto" w:fill="auto"/>
            <w:vAlign w:val="center"/>
          </w:tcPr>
          <w:p>
            <w:pPr>
              <w:pStyle w:val="179"/>
              <w:rPr>
                <w:rFonts w:hAnsi="宋体"/>
                <w:szCs w:val="18"/>
                <w:highlight w:val="none"/>
              </w:rPr>
            </w:pPr>
            <w:r>
              <w:rPr>
                <w:rFonts w:hAnsi="宋体"/>
                <w:szCs w:val="18"/>
                <w:highlight w:val="none"/>
              </w:rPr>
              <w:t>工频电场</w:t>
            </w:r>
          </w:p>
        </w:tc>
        <w:tc>
          <w:tcPr>
            <w:tcW w:w="1867" w:type="dxa"/>
            <w:tcBorders>
              <w:top w:val="single" w:color="auto" w:sz="8" w:space="0"/>
            </w:tcBorders>
            <w:shd w:val="clear" w:color="auto" w:fill="auto"/>
            <w:vAlign w:val="center"/>
          </w:tcPr>
          <w:p>
            <w:pPr>
              <w:pStyle w:val="179"/>
              <w:rPr>
                <w:rFonts w:hAnsi="宋体"/>
                <w:szCs w:val="18"/>
                <w:highlight w:val="none"/>
              </w:rPr>
            </w:pPr>
            <w:r>
              <w:rPr>
                <w:rFonts w:hAnsi="宋体"/>
                <w:szCs w:val="18"/>
                <w:highlight w:val="none"/>
              </w:rPr>
              <w:t>电场强度</w:t>
            </w:r>
          </w:p>
        </w:tc>
        <w:tc>
          <w:tcPr>
            <w:tcW w:w="1867" w:type="dxa"/>
            <w:tcBorders>
              <w:top w:val="single" w:color="auto" w:sz="8" w:space="0"/>
            </w:tcBorders>
            <w:shd w:val="clear" w:color="auto" w:fill="auto"/>
            <w:vAlign w:val="center"/>
          </w:tcPr>
          <w:p>
            <w:pPr>
              <w:pStyle w:val="179"/>
              <w:rPr>
                <w:rFonts w:hAnsi="宋体"/>
                <w:szCs w:val="18"/>
              </w:rPr>
            </w:pPr>
            <w:r>
              <w:rPr>
                <w:rFonts w:hAnsi="宋体"/>
                <w:szCs w:val="18"/>
              </w:rPr>
              <w:t>V/m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shd w:val="clear" w:color="auto" w:fill="auto"/>
            <w:vAlign w:val="center"/>
          </w:tcPr>
          <w:p>
            <w:pPr>
              <w:pStyle w:val="179"/>
              <w:rPr>
                <w:rFonts w:hAnsi="宋体"/>
                <w:szCs w:val="18"/>
              </w:rPr>
            </w:pPr>
          </w:p>
        </w:tc>
        <w:tc>
          <w:tcPr>
            <w:tcW w:w="1867" w:type="dxa"/>
            <w:vMerge w:val="continue"/>
            <w:shd w:val="clear" w:color="auto" w:fill="auto"/>
            <w:vAlign w:val="center"/>
          </w:tcPr>
          <w:p>
            <w:pPr>
              <w:pStyle w:val="179"/>
              <w:rPr>
                <w:rFonts w:hAnsi="宋体"/>
                <w:szCs w:val="18"/>
              </w:rPr>
            </w:pPr>
          </w:p>
        </w:tc>
        <w:tc>
          <w:tcPr>
            <w:tcW w:w="1867" w:type="dxa"/>
            <w:shd w:val="clear" w:color="auto" w:fill="auto"/>
            <w:vAlign w:val="center"/>
          </w:tcPr>
          <w:p>
            <w:pPr>
              <w:pStyle w:val="179"/>
              <w:rPr>
                <w:rFonts w:hAnsi="宋体"/>
                <w:szCs w:val="18"/>
                <w:highlight w:val="none"/>
              </w:rPr>
            </w:pPr>
            <w:r>
              <w:rPr>
                <w:rFonts w:hAnsi="宋体"/>
                <w:szCs w:val="18"/>
                <w:highlight w:val="none"/>
              </w:rPr>
              <w:t>工频磁</w:t>
            </w:r>
            <w:r>
              <w:rPr>
                <w:rFonts w:hint="eastAsia" w:hAnsi="宋体"/>
                <w:szCs w:val="18"/>
                <w:highlight w:val="none"/>
                <w:lang w:val="en-US" w:eastAsia="zh-CN"/>
              </w:rPr>
              <w:t>场</w:t>
            </w:r>
          </w:p>
        </w:tc>
        <w:tc>
          <w:tcPr>
            <w:tcW w:w="1867" w:type="dxa"/>
            <w:shd w:val="clear" w:color="auto" w:fill="auto"/>
            <w:vAlign w:val="center"/>
          </w:tcPr>
          <w:p>
            <w:pPr>
              <w:pStyle w:val="179"/>
              <w:rPr>
                <w:rFonts w:hAnsi="宋体"/>
                <w:szCs w:val="18"/>
                <w:highlight w:val="none"/>
              </w:rPr>
            </w:pPr>
            <w:r>
              <w:rPr>
                <w:rFonts w:hAnsi="宋体"/>
                <w:szCs w:val="18"/>
                <w:highlight w:val="none"/>
              </w:rPr>
              <w:t>磁感应强度</w:t>
            </w:r>
          </w:p>
        </w:tc>
        <w:tc>
          <w:tcPr>
            <w:tcW w:w="1867" w:type="dxa"/>
            <w:shd w:val="clear" w:color="auto" w:fill="auto"/>
            <w:vAlign w:val="center"/>
          </w:tcPr>
          <w:p>
            <w:pPr>
              <w:pStyle w:val="179"/>
              <w:rPr>
                <w:rFonts w:hAnsi="宋体"/>
                <w:szCs w:val="18"/>
              </w:rPr>
            </w:pPr>
            <w:r>
              <w:rPr>
                <w:rFonts w:hAnsi="宋体"/>
                <w:szCs w:val="18"/>
              </w:rPr>
              <w:t>μT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shd w:val="clear" w:color="auto" w:fill="auto"/>
            <w:vAlign w:val="center"/>
          </w:tcPr>
          <w:p>
            <w:pPr>
              <w:pStyle w:val="179"/>
              <w:rPr>
                <w:rFonts w:hAnsi="宋体"/>
                <w:szCs w:val="18"/>
              </w:rPr>
            </w:pPr>
          </w:p>
        </w:tc>
        <w:tc>
          <w:tcPr>
            <w:tcW w:w="1867" w:type="dxa"/>
            <w:shd w:val="clear" w:color="auto" w:fill="auto"/>
            <w:vAlign w:val="center"/>
          </w:tcPr>
          <w:p>
            <w:pPr>
              <w:pStyle w:val="179"/>
              <w:rPr>
                <w:rFonts w:hAnsi="宋体"/>
                <w:szCs w:val="18"/>
              </w:rPr>
            </w:pPr>
            <w:r>
              <w:rPr>
                <w:rFonts w:hAnsi="宋体"/>
                <w:szCs w:val="18"/>
              </w:rPr>
              <w:t>射频电磁环境</w:t>
            </w:r>
          </w:p>
        </w:tc>
        <w:tc>
          <w:tcPr>
            <w:tcW w:w="1867" w:type="dxa"/>
            <w:shd w:val="clear" w:color="auto" w:fill="auto"/>
            <w:vAlign w:val="center"/>
          </w:tcPr>
          <w:p>
            <w:pPr>
              <w:pStyle w:val="179"/>
              <w:rPr>
                <w:rFonts w:hAnsi="宋体"/>
                <w:szCs w:val="18"/>
                <w:highlight w:val="none"/>
              </w:rPr>
            </w:pPr>
            <w:r>
              <w:rPr>
                <w:rFonts w:hAnsi="宋体"/>
                <w:szCs w:val="18"/>
                <w:highlight w:val="none"/>
              </w:rPr>
              <w:t>电场强度</w:t>
            </w:r>
          </w:p>
        </w:tc>
        <w:tc>
          <w:tcPr>
            <w:tcW w:w="1867" w:type="dxa"/>
            <w:shd w:val="clear" w:color="auto" w:fill="auto"/>
            <w:vAlign w:val="center"/>
          </w:tcPr>
          <w:p>
            <w:pPr>
              <w:pStyle w:val="179"/>
              <w:rPr>
                <w:rFonts w:hAnsi="宋体"/>
                <w:szCs w:val="18"/>
                <w:highlight w:val="none"/>
              </w:rPr>
            </w:pPr>
            <w:r>
              <w:rPr>
                <w:rFonts w:hAnsi="宋体"/>
                <w:szCs w:val="18"/>
                <w:highlight w:val="none"/>
              </w:rPr>
              <w:t>电场强度</w:t>
            </w:r>
          </w:p>
        </w:tc>
        <w:tc>
          <w:tcPr>
            <w:tcW w:w="1867" w:type="dxa"/>
            <w:shd w:val="clear" w:color="auto" w:fill="auto"/>
            <w:vAlign w:val="center"/>
          </w:tcPr>
          <w:p>
            <w:pPr>
              <w:pStyle w:val="179"/>
              <w:rPr>
                <w:rFonts w:hAnsi="宋体"/>
                <w:szCs w:val="18"/>
              </w:rPr>
            </w:pPr>
            <w:r>
              <w:rPr>
                <w:rFonts w:hAnsi="宋体"/>
                <w:szCs w:val="18"/>
              </w:rPr>
              <w:t>V/m</w:t>
            </w:r>
          </w:p>
          <w:p>
            <w:pPr>
              <w:pStyle w:val="179"/>
              <w:rPr>
                <w:rFonts w:hAnsi="宋体"/>
                <w:szCs w:val="18"/>
              </w:rPr>
            </w:pPr>
            <w:r>
              <w:rPr>
                <w:rFonts w:hAnsi="宋体"/>
                <w:szCs w:val="18"/>
              </w:rPr>
              <w:t>%</w:t>
            </w:r>
            <w:r>
              <w:rPr>
                <w:rFonts w:hAnsi="宋体"/>
                <w:szCs w:val="18"/>
                <w:vertAlign w:val="superscript"/>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restart"/>
            <w:shd w:val="clear" w:color="auto" w:fill="auto"/>
            <w:vAlign w:val="center"/>
          </w:tcPr>
          <w:p>
            <w:pPr>
              <w:pStyle w:val="179"/>
              <w:rPr>
                <w:rFonts w:hAnsi="宋体"/>
                <w:szCs w:val="18"/>
              </w:rPr>
            </w:pPr>
            <w:r>
              <w:rPr>
                <w:rFonts w:hAnsi="宋体"/>
                <w:szCs w:val="18"/>
              </w:rPr>
              <w:t>电磁辐射设施</w:t>
            </w:r>
            <w:r>
              <w:rPr>
                <w:rFonts w:hint="eastAsia" w:hAnsi="宋体"/>
                <w:szCs w:val="18"/>
              </w:rPr>
              <w:t>自动</w:t>
            </w:r>
            <w:r>
              <w:rPr>
                <w:rFonts w:hAnsi="宋体"/>
                <w:szCs w:val="18"/>
              </w:rPr>
              <w:t>监测</w:t>
            </w:r>
          </w:p>
        </w:tc>
        <w:tc>
          <w:tcPr>
            <w:tcW w:w="1867" w:type="dxa"/>
            <w:vMerge w:val="restart"/>
            <w:shd w:val="clear" w:color="auto" w:fill="auto"/>
            <w:vAlign w:val="center"/>
          </w:tcPr>
          <w:p>
            <w:pPr>
              <w:pStyle w:val="179"/>
              <w:rPr>
                <w:rFonts w:hAnsi="宋体"/>
                <w:szCs w:val="18"/>
              </w:rPr>
            </w:pPr>
            <w:r>
              <w:rPr>
                <w:rFonts w:hAnsi="宋体"/>
                <w:szCs w:val="18"/>
              </w:rPr>
              <w:t>交流输变电工程</w:t>
            </w:r>
          </w:p>
        </w:tc>
        <w:tc>
          <w:tcPr>
            <w:tcW w:w="1867" w:type="dxa"/>
            <w:shd w:val="clear" w:color="auto" w:fill="auto"/>
            <w:vAlign w:val="center"/>
          </w:tcPr>
          <w:p>
            <w:pPr>
              <w:pStyle w:val="179"/>
              <w:rPr>
                <w:rFonts w:hAnsi="宋体"/>
                <w:szCs w:val="18"/>
                <w:highlight w:val="none"/>
              </w:rPr>
            </w:pPr>
            <w:r>
              <w:rPr>
                <w:rFonts w:hAnsi="宋体"/>
                <w:szCs w:val="18"/>
                <w:highlight w:val="none"/>
              </w:rPr>
              <w:t>工频电场</w:t>
            </w:r>
          </w:p>
        </w:tc>
        <w:tc>
          <w:tcPr>
            <w:tcW w:w="1867" w:type="dxa"/>
            <w:shd w:val="clear" w:color="auto" w:fill="auto"/>
            <w:vAlign w:val="center"/>
          </w:tcPr>
          <w:p>
            <w:pPr>
              <w:pStyle w:val="179"/>
              <w:rPr>
                <w:rFonts w:hAnsi="宋体"/>
                <w:szCs w:val="18"/>
                <w:highlight w:val="none"/>
              </w:rPr>
            </w:pPr>
            <w:r>
              <w:rPr>
                <w:rFonts w:hAnsi="宋体"/>
                <w:szCs w:val="18"/>
                <w:highlight w:val="none"/>
              </w:rPr>
              <w:t>电场强度</w:t>
            </w:r>
          </w:p>
        </w:tc>
        <w:tc>
          <w:tcPr>
            <w:tcW w:w="1867" w:type="dxa"/>
            <w:shd w:val="clear" w:color="auto" w:fill="auto"/>
            <w:vAlign w:val="center"/>
          </w:tcPr>
          <w:p>
            <w:pPr>
              <w:pStyle w:val="179"/>
              <w:rPr>
                <w:rFonts w:hAnsi="宋体"/>
                <w:szCs w:val="18"/>
              </w:rPr>
            </w:pPr>
            <w:r>
              <w:rPr>
                <w:rFonts w:hAnsi="宋体"/>
                <w:szCs w:val="18"/>
              </w:rPr>
              <w:t>V/m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shd w:val="clear" w:color="auto" w:fill="auto"/>
            <w:vAlign w:val="center"/>
          </w:tcPr>
          <w:p>
            <w:pPr>
              <w:pStyle w:val="179"/>
              <w:rPr>
                <w:rFonts w:hAnsi="宋体"/>
                <w:szCs w:val="18"/>
              </w:rPr>
            </w:pPr>
          </w:p>
        </w:tc>
        <w:tc>
          <w:tcPr>
            <w:tcW w:w="1867" w:type="dxa"/>
            <w:vMerge w:val="continue"/>
            <w:shd w:val="clear" w:color="auto" w:fill="auto"/>
            <w:vAlign w:val="center"/>
          </w:tcPr>
          <w:p>
            <w:pPr>
              <w:pStyle w:val="179"/>
              <w:rPr>
                <w:rFonts w:hAnsi="宋体"/>
                <w:szCs w:val="18"/>
              </w:rPr>
            </w:pPr>
          </w:p>
        </w:tc>
        <w:tc>
          <w:tcPr>
            <w:tcW w:w="1867" w:type="dxa"/>
            <w:shd w:val="clear" w:color="auto" w:fill="auto"/>
            <w:vAlign w:val="center"/>
          </w:tcPr>
          <w:p>
            <w:pPr>
              <w:pStyle w:val="179"/>
              <w:rPr>
                <w:rFonts w:hAnsi="宋体"/>
                <w:szCs w:val="18"/>
                <w:highlight w:val="none"/>
              </w:rPr>
            </w:pPr>
            <w:r>
              <w:rPr>
                <w:rFonts w:hAnsi="宋体"/>
                <w:szCs w:val="18"/>
                <w:highlight w:val="none"/>
              </w:rPr>
              <w:t>工频磁场</w:t>
            </w:r>
          </w:p>
        </w:tc>
        <w:tc>
          <w:tcPr>
            <w:tcW w:w="1867" w:type="dxa"/>
            <w:shd w:val="clear" w:color="auto" w:fill="auto"/>
            <w:vAlign w:val="center"/>
          </w:tcPr>
          <w:p>
            <w:pPr>
              <w:pStyle w:val="179"/>
              <w:rPr>
                <w:rFonts w:hAnsi="宋体"/>
                <w:szCs w:val="18"/>
                <w:highlight w:val="none"/>
              </w:rPr>
            </w:pPr>
            <w:r>
              <w:rPr>
                <w:rFonts w:hAnsi="宋体"/>
                <w:szCs w:val="18"/>
                <w:highlight w:val="none"/>
              </w:rPr>
              <w:t>磁感应强</w:t>
            </w:r>
            <w:r>
              <w:rPr>
                <w:rFonts w:hint="eastAsia" w:hAnsi="宋体"/>
                <w:szCs w:val="18"/>
                <w:highlight w:val="none"/>
              </w:rPr>
              <w:t>度</w:t>
            </w:r>
          </w:p>
        </w:tc>
        <w:tc>
          <w:tcPr>
            <w:tcW w:w="1867" w:type="dxa"/>
            <w:shd w:val="clear" w:color="auto" w:fill="auto"/>
            <w:vAlign w:val="center"/>
          </w:tcPr>
          <w:p>
            <w:pPr>
              <w:pStyle w:val="179"/>
              <w:rPr>
                <w:rFonts w:hAnsi="宋体"/>
                <w:szCs w:val="18"/>
              </w:rPr>
            </w:pPr>
            <w:r>
              <w:rPr>
                <w:rFonts w:hAnsi="宋体"/>
                <w:szCs w:val="18"/>
              </w:rPr>
              <w:t>μT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shd w:val="clear" w:color="auto" w:fill="auto"/>
            <w:vAlign w:val="center"/>
          </w:tcPr>
          <w:p>
            <w:pPr>
              <w:pStyle w:val="179"/>
              <w:rPr>
                <w:rFonts w:hAnsi="宋体"/>
                <w:szCs w:val="18"/>
              </w:rPr>
            </w:pPr>
          </w:p>
        </w:tc>
        <w:tc>
          <w:tcPr>
            <w:tcW w:w="1867" w:type="dxa"/>
            <w:vMerge w:val="restart"/>
            <w:shd w:val="clear" w:color="auto" w:fill="auto"/>
            <w:vAlign w:val="center"/>
          </w:tcPr>
          <w:p>
            <w:pPr>
              <w:pStyle w:val="179"/>
              <w:rPr>
                <w:rFonts w:hAnsi="宋体"/>
                <w:szCs w:val="18"/>
              </w:rPr>
            </w:pPr>
            <w:r>
              <w:rPr>
                <w:rFonts w:hAnsi="宋体"/>
                <w:szCs w:val="18"/>
              </w:rPr>
              <w:t>中波、短波广播</w:t>
            </w:r>
            <w:r>
              <w:rPr>
                <w:rFonts w:hint="eastAsia" w:hAnsi="宋体"/>
                <w:szCs w:val="18"/>
              </w:rPr>
              <w:t>发射台，</w:t>
            </w:r>
            <w:r>
              <w:rPr>
                <w:rFonts w:hAnsi="宋体"/>
                <w:szCs w:val="18"/>
              </w:rPr>
              <w:t>电视发射台</w:t>
            </w:r>
          </w:p>
        </w:tc>
        <w:tc>
          <w:tcPr>
            <w:tcW w:w="1867" w:type="dxa"/>
            <w:shd w:val="clear" w:color="auto" w:fill="auto"/>
            <w:vAlign w:val="center"/>
          </w:tcPr>
          <w:p>
            <w:pPr>
              <w:pStyle w:val="179"/>
              <w:rPr>
                <w:rFonts w:hAnsi="宋体"/>
                <w:szCs w:val="18"/>
              </w:rPr>
            </w:pPr>
            <w:r>
              <w:rPr>
                <w:rFonts w:hAnsi="宋体"/>
                <w:szCs w:val="18"/>
              </w:rPr>
              <w:t>射频电场</w:t>
            </w:r>
          </w:p>
        </w:tc>
        <w:tc>
          <w:tcPr>
            <w:tcW w:w="1867" w:type="dxa"/>
            <w:shd w:val="clear" w:color="auto" w:fill="auto"/>
            <w:vAlign w:val="center"/>
          </w:tcPr>
          <w:p>
            <w:pPr>
              <w:pStyle w:val="179"/>
              <w:rPr>
                <w:rFonts w:hAnsi="宋体"/>
                <w:szCs w:val="18"/>
              </w:rPr>
            </w:pPr>
            <w:r>
              <w:rPr>
                <w:rFonts w:hAnsi="宋体"/>
                <w:szCs w:val="18"/>
              </w:rPr>
              <w:t>电场强度</w:t>
            </w:r>
          </w:p>
        </w:tc>
        <w:tc>
          <w:tcPr>
            <w:tcW w:w="1867" w:type="dxa"/>
            <w:shd w:val="clear" w:color="auto" w:fill="auto"/>
            <w:vAlign w:val="center"/>
          </w:tcPr>
          <w:p>
            <w:pPr>
              <w:pStyle w:val="179"/>
              <w:rPr>
                <w:rFonts w:hAnsi="宋体"/>
                <w:szCs w:val="18"/>
              </w:rPr>
            </w:pPr>
            <w:r>
              <w:rPr>
                <w:rFonts w:hAnsi="宋体"/>
                <w:szCs w:val="18"/>
              </w:rPr>
              <w:t>V/m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shd w:val="clear" w:color="auto" w:fill="auto"/>
            <w:vAlign w:val="center"/>
          </w:tcPr>
          <w:p>
            <w:pPr>
              <w:pStyle w:val="179"/>
              <w:rPr>
                <w:rFonts w:hAnsi="宋体"/>
                <w:szCs w:val="18"/>
              </w:rPr>
            </w:pPr>
          </w:p>
        </w:tc>
        <w:tc>
          <w:tcPr>
            <w:tcW w:w="1867" w:type="dxa"/>
            <w:vMerge w:val="continue"/>
            <w:shd w:val="clear" w:color="auto" w:fill="auto"/>
            <w:vAlign w:val="center"/>
          </w:tcPr>
          <w:p>
            <w:pPr>
              <w:pStyle w:val="179"/>
              <w:rPr>
                <w:rFonts w:hAnsi="宋体"/>
                <w:szCs w:val="18"/>
              </w:rPr>
            </w:pPr>
          </w:p>
        </w:tc>
        <w:tc>
          <w:tcPr>
            <w:tcW w:w="1867" w:type="dxa"/>
            <w:shd w:val="clear" w:color="auto" w:fill="auto"/>
            <w:vAlign w:val="center"/>
          </w:tcPr>
          <w:p>
            <w:pPr>
              <w:pStyle w:val="179"/>
              <w:rPr>
                <w:rFonts w:hAnsi="宋体"/>
                <w:szCs w:val="18"/>
              </w:rPr>
            </w:pPr>
            <w:r>
              <w:rPr>
                <w:rFonts w:hAnsi="宋体"/>
                <w:szCs w:val="18"/>
              </w:rPr>
              <w:t>射频磁场</w:t>
            </w:r>
          </w:p>
        </w:tc>
        <w:tc>
          <w:tcPr>
            <w:tcW w:w="1867" w:type="dxa"/>
            <w:shd w:val="clear" w:color="auto" w:fill="auto"/>
            <w:vAlign w:val="center"/>
          </w:tcPr>
          <w:p>
            <w:pPr>
              <w:pStyle w:val="179"/>
              <w:rPr>
                <w:rFonts w:hAnsi="宋体"/>
                <w:szCs w:val="18"/>
              </w:rPr>
            </w:pPr>
            <w:r>
              <w:rPr>
                <w:rFonts w:hAnsi="宋体"/>
                <w:szCs w:val="18"/>
              </w:rPr>
              <w:t>磁场强度</w:t>
            </w:r>
          </w:p>
        </w:tc>
        <w:tc>
          <w:tcPr>
            <w:tcW w:w="1867" w:type="dxa"/>
            <w:shd w:val="clear" w:color="auto" w:fill="auto"/>
            <w:vAlign w:val="center"/>
          </w:tcPr>
          <w:p>
            <w:pPr>
              <w:pStyle w:val="179"/>
              <w:rPr>
                <w:rFonts w:hAnsi="宋体"/>
                <w:szCs w:val="18"/>
              </w:rPr>
            </w:pPr>
            <w:r>
              <w:rPr>
                <w:rFonts w:hAnsi="宋体"/>
                <w:szCs w:val="18"/>
              </w:rPr>
              <w:t>A/m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vMerge w:val="continue"/>
            <w:tcBorders>
              <w:bottom w:val="single" w:color="auto" w:sz="8" w:space="0"/>
            </w:tcBorders>
            <w:shd w:val="clear" w:color="auto" w:fill="auto"/>
            <w:vAlign w:val="center"/>
          </w:tcPr>
          <w:p>
            <w:pPr>
              <w:pStyle w:val="179"/>
              <w:rPr>
                <w:rFonts w:hAnsi="宋体"/>
                <w:szCs w:val="18"/>
              </w:rPr>
            </w:pPr>
          </w:p>
        </w:tc>
        <w:tc>
          <w:tcPr>
            <w:tcW w:w="1867" w:type="dxa"/>
            <w:tcBorders>
              <w:bottom w:val="single" w:color="auto" w:sz="8" w:space="0"/>
            </w:tcBorders>
            <w:shd w:val="clear" w:color="auto" w:fill="auto"/>
            <w:vAlign w:val="center"/>
          </w:tcPr>
          <w:p>
            <w:pPr>
              <w:pStyle w:val="179"/>
              <w:rPr>
                <w:rFonts w:hAnsi="宋体"/>
                <w:szCs w:val="18"/>
              </w:rPr>
            </w:pPr>
            <w:r>
              <w:rPr>
                <w:rFonts w:hAnsi="宋体"/>
                <w:szCs w:val="18"/>
              </w:rPr>
              <w:t>移动通信基站</w:t>
            </w:r>
            <w:r>
              <w:rPr>
                <w:rFonts w:hint="eastAsia" w:hAnsi="宋体"/>
                <w:szCs w:val="18"/>
              </w:rPr>
              <w:t>，</w:t>
            </w:r>
            <w:r>
              <w:rPr>
                <w:rFonts w:hAnsi="宋体"/>
                <w:szCs w:val="18"/>
              </w:rPr>
              <w:t>雷达</w:t>
            </w:r>
          </w:p>
        </w:tc>
        <w:tc>
          <w:tcPr>
            <w:tcW w:w="1867" w:type="dxa"/>
            <w:tcBorders>
              <w:bottom w:val="single" w:color="auto" w:sz="8" w:space="0"/>
            </w:tcBorders>
            <w:shd w:val="clear" w:color="auto" w:fill="auto"/>
            <w:vAlign w:val="center"/>
          </w:tcPr>
          <w:p>
            <w:pPr>
              <w:pStyle w:val="179"/>
              <w:rPr>
                <w:rFonts w:hAnsi="宋体"/>
                <w:szCs w:val="18"/>
              </w:rPr>
            </w:pPr>
            <w:r>
              <w:rPr>
                <w:rFonts w:hAnsi="宋体"/>
                <w:szCs w:val="18"/>
              </w:rPr>
              <w:t>射频电磁场</w:t>
            </w:r>
          </w:p>
        </w:tc>
        <w:tc>
          <w:tcPr>
            <w:tcW w:w="1867" w:type="dxa"/>
            <w:tcBorders>
              <w:bottom w:val="single" w:color="auto" w:sz="8" w:space="0"/>
            </w:tcBorders>
            <w:shd w:val="clear" w:color="auto" w:fill="auto"/>
            <w:vAlign w:val="center"/>
          </w:tcPr>
          <w:p>
            <w:pPr>
              <w:pStyle w:val="179"/>
              <w:rPr>
                <w:rFonts w:hAnsi="宋体"/>
                <w:szCs w:val="18"/>
              </w:rPr>
            </w:pPr>
            <w:r>
              <w:rPr>
                <w:rFonts w:hAnsi="宋体"/>
                <w:szCs w:val="18"/>
              </w:rPr>
              <w:t>电场强度（或功率密度）</w:t>
            </w:r>
          </w:p>
        </w:tc>
        <w:tc>
          <w:tcPr>
            <w:tcW w:w="1867" w:type="dxa"/>
            <w:tcBorders>
              <w:bottom w:val="single" w:color="auto" w:sz="8" w:space="0"/>
            </w:tcBorders>
            <w:shd w:val="clear" w:color="auto" w:fill="auto"/>
            <w:vAlign w:val="center"/>
          </w:tcPr>
          <w:p>
            <w:pPr>
              <w:pStyle w:val="179"/>
              <w:rPr>
                <w:rFonts w:hAnsi="宋体"/>
                <w:szCs w:val="18"/>
              </w:rPr>
            </w:pPr>
            <w:r>
              <w:rPr>
                <w:rFonts w:hAnsi="宋体"/>
                <w:szCs w:val="18"/>
              </w:rPr>
              <w:t>V/m(</w:t>
            </w:r>
            <w:r>
              <w:rPr>
                <w:rFonts w:hint="eastAsia" w:hAnsi="宋体"/>
                <w:szCs w:val="18"/>
              </w:rPr>
              <w:t>或</w:t>
            </w:r>
            <w:r>
              <w:t> </w:t>
            </w:r>
            <w:r>
              <w:rPr>
                <w:rFonts w:hAnsi="宋体"/>
                <w:szCs w:val="18"/>
              </w:rPr>
              <w:t>μW/cm</w:t>
            </w:r>
            <w:r>
              <w:rPr>
                <w:rFonts w:hAnsi="宋体"/>
                <w:szCs w:val="18"/>
                <w:vertAlign w:val="superscript"/>
              </w:rPr>
              <w:t>2</w:t>
            </w:r>
            <w:r>
              <w:rPr>
                <w:rFonts w:hAnsi="宋体"/>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tcBorders>
              <w:top w:val="single" w:color="auto" w:sz="8" w:space="0"/>
              <w:bottom w:val="single" w:color="auto" w:sz="8" w:space="0"/>
            </w:tcBorders>
            <w:shd w:val="clear" w:color="auto" w:fill="auto"/>
            <w:vAlign w:val="center"/>
          </w:tcPr>
          <w:p>
            <w:pPr>
              <w:pStyle w:val="102"/>
              <w:rPr>
                <w:rFonts w:hint="default" w:eastAsia="宋体"/>
                <w:lang w:val="en-US" w:eastAsia="zh-CN"/>
              </w:rPr>
            </w:pPr>
            <w:r>
              <w:rPr>
                <w:szCs w:val="18"/>
              </w:rPr>
              <w:t>%为HJ 1349中用于电磁环境质量评估和电磁场的参考水平</w:t>
            </w:r>
            <w:r>
              <w:rPr>
                <w:rFonts w:hint="eastAsia"/>
                <w:szCs w:val="18"/>
              </w:rPr>
              <w:t>。</w:t>
            </w:r>
          </w:p>
        </w:tc>
      </w:tr>
    </w:tbl>
    <w:p>
      <w:pPr>
        <w:pStyle w:val="106"/>
        <w:spacing w:before="120" w:after="120"/>
      </w:pPr>
      <w:bookmarkStart w:id="54" w:name="_Toc165908032"/>
      <w:r>
        <w:rPr>
          <w:rFonts w:hint="eastAsia"/>
        </w:rPr>
        <w:t>采集频率</w:t>
      </w:r>
      <w:bookmarkEnd w:id="54"/>
    </w:p>
    <w:p>
      <w:pPr>
        <w:pStyle w:val="166"/>
      </w:pPr>
      <w:r>
        <w:rPr>
          <w:rFonts w:hint="eastAsia"/>
        </w:rPr>
        <w:t>工频电场、</w:t>
      </w:r>
      <w:r>
        <w:rPr>
          <w:rFonts w:hAnsi="宋体"/>
          <w:szCs w:val="18"/>
          <w:highlight w:val="none"/>
        </w:rPr>
        <w:t>工频磁场</w:t>
      </w:r>
      <w:r>
        <w:rPr>
          <w:rFonts w:hint="eastAsia"/>
        </w:rPr>
        <w:t>电磁辐射环境自动监测每组数据采集时长不超过</w:t>
      </w:r>
      <w:r>
        <w:rPr>
          <w:rFonts w:ascii="Times New Roman"/>
        </w:rPr>
        <w:t> </w:t>
      </w:r>
      <w:r>
        <w:rPr>
          <w:rFonts w:hint="eastAsia"/>
        </w:rPr>
        <w:t>15</w:t>
      </w:r>
      <w:r>
        <w:rPr>
          <w:rFonts w:ascii="Times New Roman"/>
        </w:rPr>
        <w:t> </w:t>
      </w:r>
      <w:r>
        <w:rPr>
          <w:rFonts w:hint="eastAsia"/>
        </w:rPr>
        <w:t>秒，即采集频率不低于</w:t>
      </w:r>
      <w:r>
        <w:rPr>
          <w:rFonts w:ascii="Times New Roman"/>
        </w:rPr>
        <w:t> </w:t>
      </w:r>
      <w:r>
        <w:rPr>
          <w:rFonts w:hint="eastAsia"/>
        </w:rPr>
        <w:t>15</w:t>
      </w:r>
      <w:r>
        <w:rPr>
          <w:rFonts w:ascii="Times New Roman"/>
        </w:rPr>
        <w:t> </w:t>
      </w:r>
      <w:r>
        <w:rPr>
          <w:rFonts w:hint="eastAsia"/>
        </w:rPr>
        <w:t>秒/组，读取自动监测仪器连续</w:t>
      </w:r>
      <w:r>
        <w:rPr>
          <w:rFonts w:ascii="Times New Roman"/>
        </w:rPr>
        <w:t> </w:t>
      </w:r>
      <w:r>
        <w:rPr>
          <w:rFonts w:hint="eastAsia"/>
        </w:rPr>
        <w:t>6</w:t>
      </w:r>
      <w:r>
        <w:rPr>
          <w:rFonts w:ascii="Times New Roman"/>
        </w:rPr>
        <w:t> </w:t>
      </w:r>
      <w:r>
        <w:rPr>
          <w:rFonts w:hint="eastAsia"/>
        </w:rPr>
        <w:t>分钟方均根值的平均值。</w:t>
      </w:r>
    </w:p>
    <w:p>
      <w:pPr>
        <w:pStyle w:val="166"/>
      </w:pPr>
      <w:r>
        <w:rPr>
          <w:rFonts w:hint="eastAsia"/>
        </w:rPr>
        <w:t>射频电磁场电磁辐射环境自动监测每个数据采集时长不超过</w:t>
      </w:r>
      <w:r>
        <w:rPr>
          <w:rFonts w:ascii="Times New Roman"/>
        </w:rPr>
        <w:t> </w:t>
      </w:r>
      <w:r>
        <w:rPr>
          <w:rFonts w:hint="eastAsia"/>
        </w:rPr>
        <w:t>3</w:t>
      </w:r>
      <w:r>
        <w:rPr>
          <w:rFonts w:ascii="Times New Roman"/>
        </w:rPr>
        <w:t> </w:t>
      </w:r>
      <w:r>
        <w:rPr>
          <w:rFonts w:hint="eastAsia"/>
        </w:rPr>
        <w:t>秒，即采集频率不低于</w:t>
      </w:r>
      <w:r>
        <w:rPr>
          <w:rFonts w:ascii="Times New Roman"/>
        </w:rPr>
        <w:t> </w:t>
      </w:r>
      <w:r>
        <w:rPr>
          <w:rFonts w:hint="eastAsia"/>
        </w:rPr>
        <w:t>3</w:t>
      </w:r>
      <w:r>
        <w:rPr>
          <w:rFonts w:ascii="Times New Roman"/>
        </w:rPr>
        <w:t> </w:t>
      </w:r>
      <w:r>
        <w:rPr>
          <w:rFonts w:hint="eastAsia"/>
        </w:rPr>
        <w:t>秒/数据，读取自动监测仪器连续</w:t>
      </w:r>
      <w:bookmarkStart w:id="118" w:name="_GoBack"/>
      <w:bookmarkEnd w:id="118"/>
      <w:r>
        <w:rPr>
          <w:rFonts w:ascii="Times New Roman"/>
        </w:rPr>
        <w:t> </w:t>
      </w:r>
      <w:r>
        <w:rPr>
          <w:rFonts w:hint="eastAsia"/>
        </w:rPr>
        <w:t>6</w:t>
      </w:r>
      <w:r>
        <w:rPr>
          <w:rFonts w:ascii="Times New Roman"/>
        </w:rPr>
        <w:t> </w:t>
      </w:r>
      <w:r>
        <w:rPr>
          <w:rFonts w:hint="eastAsia"/>
        </w:rPr>
        <w:t>分钟方均根值的平均值。</w:t>
      </w:r>
    </w:p>
    <w:p>
      <w:pPr>
        <w:pStyle w:val="166"/>
      </w:pPr>
      <w:r>
        <w:rPr>
          <w:rFonts w:hint="eastAsia"/>
        </w:rPr>
        <w:t>对脉冲电磁波，除测量连续</w:t>
      </w:r>
      <w:r>
        <w:rPr>
          <w:rFonts w:ascii="Times New Roman"/>
        </w:rPr>
        <w:t> </w:t>
      </w:r>
      <w:r>
        <w:rPr>
          <w:rFonts w:hint="eastAsia"/>
        </w:rPr>
        <w:t>6</w:t>
      </w:r>
      <w:r>
        <w:rPr>
          <w:rFonts w:ascii="Times New Roman"/>
        </w:rPr>
        <w:t> </w:t>
      </w:r>
      <w:r>
        <w:rPr>
          <w:rFonts w:hint="eastAsia"/>
        </w:rPr>
        <w:t>分钟方均根值的平均值外，还需读取</w:t>
      </w:r>
      <w:r>
        <w:rPr>
          <w:rFonts w:ascii="Times New Roman"/>
        </w:rPr>
        <w:t> </w:t>
      </w:r>
      <w:r>
        <w:rPr>
          <w:rFonts w:hint="eastAsia"/>
        </w:rPr>
        <w:t>6</w:t>
      </w:r>
      <w:r>
        <w:rPr>
          <w:rFonts w:ascii="Times New Roman"/>
        </w:rPr>
        <w:t> </w:t>
      </w:r>
      <w:r>
        <w:rPr>
          <w:rFonts w:hint="eastAsia"/>
        </w:rPr>
        <w:t>分钟内的瞬时峰值。</w:t>
      </w:r>
    </w:p>
    <w:p>
      <w:pPr>
        <w:pStyle w:val="106"/>
        <w:spacing w:before="120" w:after="120"/>
      </w:pPr>
      <w:bookmarkStart w:id="55" w:name="_Toc165908033"/>
      <w:r>
        <w:rPr>
          <w:rFonts w:hint="eastAsia"/>
        </w:rPr>
        <w:t>选频监测</w:t>
      </w:r>
      <w:bookmarkEnd w:id="55"/>
    </w:p>
    <w:p>
      <w:pPr>
        <w:pStyle w:val="166"/>
        <w:rPr>
          <w:rFonts w:hAnsi="宋体"/>
        </w:rPr>
      </w:pPr>
      <w:r>
        <w:rPr>
          <w:rFonts w:hint="eastAsia" w:hAnsi="宋体"/>
        </w:rPr>
        <w:t>电磁环境质量的选频自动监测应覆盖</w:t>
      </w:r>
      <w:r>
        <w:t> </w:t>
      </w:r>
      <w:r>
        <w:rPr>
          <w:rFonts w:hint="eastAsia" w:hAnsi="宋体"/>
        </w:rPr>
        <w:t>1</w:t>
      </w:r>
      <w:r>
        <w:t> </w:t>
      </w:r>
      <w:r>
        <w:rPr>
          <w:rFonts w:hint="eastAsia" w:hAnsi="宋体"/>
        </w:rPr>
        <w:t>Hz</w:t>
      </w:r>
      <w:r>
        <w:rPr>
          <w:rFonts w:hint="eastAsia" w:hAnsi="宋体"/>
          <w:color w:val="333333"/>
          <w:shd w:val="clear" w:color="auto" w:fill="FFFFFF"/>
        </w:rPr>
        <w:t>～</w:t>
      </w:r>
      <w:r>
        <w:rPr>
          <w:rFonts w:hint="eastAsia" w:hAnsi="宋体"/>
        </w:rPr>
        <w:t>6</w:t>
      </w:r>
      <w:r>
        <w:t> </w:t>
      </w:r>
      <w:r>
        <w:rPr>
          <w:rFonts w:hint="eastAsia" w:hAnsi="宋体"/>
        </w:rPr>
        <w:t>GHz，并根据</w:t>
      </w:r>
      <w:r>
        <w:t> </w:t>
      </w:r>
      <w:r>
        <w:rPr>
          <w:rFonts w:hint="eastAsia" w:hAnsi="宋体"/>
        </w:rPr>
        <w:t>GB 8702</w:t>
      </w:r>
      <w:r>
        <w:t> </w:t>
      </w:r>
      <w:r>
        <w:rPr>
          <w:rFonts w:hint="eastAsia" w:hAnsi="宋体"/>
        </w:rPr>
        <w:t>规定的频率段进行评价。</w:t>
      </w:r>
    </w:p>
    <w:p>
      <w:pPr>
        <w:pStyle w:val="166"/>
        <w:rPr>
          <w:rFonts w:hAnsi="宋体"/>
        </w:rPr>
      </w:pPr>
      <w:r>
        <w:rPr>
          <w:rFonts w:hint="eastAsia" w:hAnsi="宋体"/>
        </w:rPr>
        <w:t>电磁辐射设施的选频自动监测应根据其发射或伴生的频率进行监测。</w:t>
      </w:r>
    </w:p>
    <w:p>
      <w:pPr>
        <w:pStyle w:val="106"/>
        <w:spacing w:before="120" w:after="120"/>
      </w:pPr>
      <w:bookmarkStart w:id="56" w:name="_Toc165908034"/>
      <w:r>
        <w:rPr>
          <w:rFonts w:hint="eastAsia"/>
        </w:rPr>
        <w:t>信息公开</w:t>
      </w:r>
      <w:bookmarkEnd w:id="56"/>
    </w:p>
    <w:p>
      <w:pPr>
        <w:pStyle w:val="166"/>
      </w:pPr>
      <w:r>
        <w:rPr>
          <w:rFonts w:hint="eastAsia"/>
        </w:rPr>
        <w:t>电磁辐射环境自动监测站应设置铭牌，铭牌应包含自动站名称、编号、位置、权属单位、站点负责人及联系方式、监测设备名称等信息。</w:t>
      </w:r>
    </w:p>
    <w:p>
      <w:pPr>
        <w:pStyle w:val="166"/>
      </w:pPr>
      <w:r>
        <w:rPr>
          <w:rFonts w:hint="eastAsia"/>
        </w:rPr>
        <w:t>电磁辐射环境自动监测站可按需设置环境信息屏，展示电磁质量状况或电磁辐射水平、执行标准等信息。</w:t>
      </w:r>
    </w:p>
    <w:p>
      <w:pPr>
        <w:pStyle w:val="106"/>
        <w:spacing w:before="120" w:after="120"/>
      </w:pPr>
      <w:bookmarkStart w:id="57" w:name="_Toc165908035"/>
      <w:r>
        <w:rPr>
          <w:rFonts w:hint="eastAsia"/>
        </w:rPr>
        <w:t>通信协议</w:t>
      </w:r>
      <w:bookmarkEnd w:id="57"/>
    </w:p>
    <w:p>
      <w:pPr>
        <w:pStyle w:val="57"/>
        <w:ind w:firstLine="420"/>
      </w:pPr>
      <w:r>
        <w:rPr>
          <w:rFonts w:hint="eastAsia"/>
        </w:rPr>
        <w:t>电磁辐射环境自动监测设备应开放通信及数据接口/协议，可实现与其它系统之间的数据信息交互，数据格式满足</w:t>
      </w:r>
      <w:r>
        <w:t> </w:t>
      </w:r>
      <w:r>
        <w:rPr>
          <w:rFonts w:hint="eastAsia"/>
        </w:rPr>
        <w:t>HJ 212</w:t>
      </w:r>
      <w:r>
        <w:t> </w:t>
      </w:r>
      <w:r>
        <w:rPr>
          <w:rFonts w:hint="eastAsia"/>
        </w:rPr>
        <w:t>的要求。</w:t>
      </w:r>
    </w:p>
    <w:p>
      <w:pPr>
        <w:pStyle w:val="105"/>
        <w:spacing w:before="240" w:after="240"/>
      </w:pPr>
      <w:bookmarkStart w:id="58" w:name="_Toc10785"/>
      <w:bookmarkStart w:id="59" w:name="_Toc165908036"/>
      <w:bookmarkStart w:id="60" w:name="_Toc3498"/>
      <w:bookmarkStart w:id="61" w:name="_Toc28566"/>
      <w:bookmarkStart w:id="62" w:name="_Toc2647"/>
      <w:r>
        <w:t>点位布设</w:t>
      </w:r>
      <w:bookmarkEnd w:id="58"/>
      <w:bookmarkEnd w:id="59"/>
      <w:bookmarkEnd w:id="60"/>
      <w:bookmarkEnd w:id="61"/>
      <w:bookmarkEnd w:id="62"/>
    </w:p>
    <w:p>
      <w:pPr>
        <w:pStyle w:val="106"/>
        <w:spacing w:before="120" w:after="120"/>
      </w:pPr>
      <w:bookmarkStart w:id="63" w:name="_Toc165908037"/>
      <w:bookmarkStart w:id="64" w:name="_Hlk159333903"/>
      <w:bookmarkStart w:id="65" w:name="_Toc160539359"/>
      <w:bookmarkStart w:id="66" w:name="_Toc160539388"/>
      <w:r>
        <w:t>一般要求</w:t>
      </w:r>
      <w:bookmarkEnd w:id="63"/>
    </w:p>
    <w:p>
      <w:pPr>
        <w:pStyle w:val="166"/>
      </w:pPr>
      <w:r>
        <w:t>监测点位应具有代表性，选择不易受环境条件影响和人为干扰的固定地点。</w:t>
      </w:r>
    </w:p>
    <w:p>
      <w:pPr>
        <w:pStyle w:val="166"/>
      </w:pPr>
      <w:r>
        <w:t>满足监测数据自动连续传输所需的供电、通信条件，监测点位置应便于监测</w:t>
      </w:r>
      <w:r>
        <w:rPr>
          <w:rFonts w:hint="eastAsia"/>
        </w:rPr>
        <w:t>仪器</w:t>
      </w:r>
      <w:r>
        <w:t>运行、维护和数据传输。</w:t>
      </w:r>
    </w:p>
    <w:p>
      <w:pPr>
        <w:pStyle w:val="166"/>
      </w:pPr>
      <w:r>
        <w:t>要充分考虑</w:t>
      </w:r>
      <w:r>
        <w:rPr>
          <w:rFonts w:hint="eastAsia"/>
        </w:rPr>
        <w:t>周围公众</w:t>
      </w:r>
      <w:r>
        <w:t>的关注情况，监测点位</w:t>
      </w:r>
      <w:r>
        <w:rPr>
          <w:rFonts w:hint="eastAsia"/>
        </w:rPr>
        <w:t>应</w:t>
      </w:r>
      <w:r>
        <w:t>充分反映出</w:t>
      </w:r>
      <w:r>
        <w:rPr>
          <w:rFonts w:hint="eastAsia"/>
        </w:rPr>
        <w:t>电磁辐射环境</w:t>
      </w:r>
      <w:r>
        <w:t>潜在最大</w:t>
      </w:r>
      <w:r>
        <w:rPr>
          <w:rFonts w:hint="eastAsia"/>
        </w:rPr>
        <w:t>影响</w:t>
      </w:r>
      <w:r>
        <w:t>。</w:t>
      </w:r>
    </w:p>
    <w:p>
      <w:pPr>
        <w:pStyle w:val="106"/>
        <w:spacing w:before="120" w:after="120"/>
      </w:pPr>
      <w:bookmarkStart w:id="67" w:name="_Toc165908038"/>
      <w:r>
        <w:rPr>
          <w:rFonts w:hint="eastAsia"/>
        </w:rPr>
        <w:t>电磁</w:t>
      </w:r>
      <w:r>
        <w:t>环境质量自动监测站选址要求</w:t>
      </w:r>
      <w:bookmarkEnd w:id="67"/>
    </w:p>
    <w:p>
      <w:pPr>
        <w:pStyle w:val="166"/>
        <w:rPr>
          <w:rFonts w:hAnsi="宋体"/>
        </w:rPr>
      </w:pPr>
      <w:r>
        <w:rPr>
          <w:rFonts w:hAnsi="宋体"/>
        </w:rPr>
        <w:t>电磁环境质量自动监测站点选址优先选择区域电磁环境质量相对稳定的位置。</w:t>
      </w:r>
    </w:p>
    <w:p>
      <w:pPr>
        <w:pStyle w:val="166"/>
        <w:rPr>
          <w:rFonts w:hAnsi="宋体"/>
        </w:rPr>
      </w:pPr>
      <w:r>
        <w:rPr>
          <w:rFonts w:hint="eastAsia" w:hAnsi="宋体"/>
        </w:rPr>
        <w:t>电磁</w:t>
      </w:r>
      <w:r>
        <w:rPr>
          <w:rFonts w:hAnsi="宋体"/>
        </w:rPr>
        <w:t>环境质量</w:t>
      </w:r>
      <w:r>
        <w:rPr>
          <w:rFonts w:hint="eastAsia" w:hAnsi="宋体"/>
        </w:rPr>
        <w:t>自动</w:t>
      </w:r>
      <w:r>
        <w:rPr>
          <w:rFonts w:hAnsi="宋体"/>
        </w:rPr>
        <w:t>监测站点选址应</w:t>
      </w:r>
      <w:r>
        <w:rPr>
          <w:rFonts w:hint="eastAsia" w:hAnsi="宋体"/>
        </w:rPr>
        <w:t>充分考虑</w:t>
      </w:r>
      <w:r>
        <w:rPr>
          <w:rFonts w:hAnsi="宋体"/>
        </w:rPr>
        <w:t>公众日常活动</w:t>
      </w:r>
      <w:r>
        <w:rPr>
          <w:rFonts w:hint="eastAsia" w:hAnsi="宋体"/>
        </w:rPr>
        <w:t>规律，布设在</w:t>
      </w:r>
      <w:r>
        <w:rPr>
          <w:rFonts w:hAnsi="宋体"/>
        </w:rPr>
        <w:t>居民区、商业区、学校、工厂、公园、广场等公众活动密集的区域</w:t>
      </w:r>
      <w:r>
        <w:rPr>
          <w:rFonts w:hint="eastAsia" w:hAnsi="宋体"/>
        </w:rPr>
        <w:t>。</w:t>
      </w:r>
    </w:p>
    <w:p>
      <w:pPr>
        <w:pStyle w:val="166"/>
        <w:rPr>
          <w:rFonts w:hAnsi="宋体"/>
        </w:rPr>
      </w:pPr>
      <w:r>
        <w:rPr>
          <w:rFonts w:hAnsi="宋体"/>
        </w:rPr>
        <w:t>电磁环境质量自动监测站点应选开阔平坦区域中心，</w:t>
      </w:r>
      <w:r>
        <w:rPr>
          <w:rFonts w:hint="eastAsia" w:hAnsi="宋体"/>
        </w:rPr>
        <w:t>面积不小于</w:t>
      </w:r>
      <w:r>
        <w:t> </w:t>
      </w:r>
      <w:r>
        <w:rPr>
          <w:rFonts w:hAnsi="宋体"/>
        </w:rPr>
        <w:t>20</w:t>
      </w:r>
      <w:r>
        <w:t> </w:t>
      </w:r>
      <w:r>
        <w:rPr>
          <w:rFonts w:hAnsi="宋体"/>
        </w:rPr>
        <w:t>平方米</w:t>
      </w:r>
      <w:r>
        <w:rPr>
          <w:rFonts w:hint="eastAsia" w:hAnsi="宋体"/>
        </w:rPr>
        <w:t>，</w:t>
      </w:r>
      <w:r>
        <w:rPr>
          <w:rFonts w:hAnsi="宋体"/>
        </w:rPr>
        <w:t>宜利用栅栏等手段建立相对独立的站点空间。</w:t>
      </w:r>
    </w:p>
    <w:p>
      <w:pPr>
        <w:pStyle w:val="106"/>
        <w:spacing w:before="120" w:after="120"/>
      </w:pPr>
      <w:bookmarkStart w:id="68" w:name="_Toc165908039"/>
      <w:r>
        <w:t>电磁辐射设施自动监测站选址要求</w:t>
      </w:r>
      <w:bookmarkEnd w:id="68"/>
    </w:p>
    <w:p>
      <w:pPr>
        <w:pStyle w:val="166"/>
        <w:rPr>
          <w:rFonts w:hAnsi="宋体"/>
        </w:rPr>
      </w:pPr>
      <w:r>
        <w:rPr>
          <w:rFonts w:hAnsi="宋体"/>
        </w:rPr>
        <w:t>变电站自动监测应考虑</w:t>
      </w:r>
      <w:r>
        <w:rPr>
          <w:rFonts w:hint="eastAsia" w:hAnsi="宋体"/>
        </w:rPr>
        <w:t>其</w:t>
      </w:r>
      <w:r>
        <w:rPr>
          <w:rFonts w:hAnsi="宋体"/>
        </w:rPr>
        <w:t>主要电气设施布置等因素，按</w:t>
      </w:r>
      <w:r>
        <w:t> </w:t>
      </w:r>
      <w:r>
        <w:rPr>
          <w:rFonts w:hAnsi="宋体"/>
        </w:rPr>
        <w:t>HJ</w:t>
      </w:r>
      <w:r>
        <w:rPr>
          <w:rFonts w:hint="eastAsia" w:ascii="MS Mincho" w:hAnsi="MS Mincho" w:cs="MS Mincho" w:eastAsiaTheme="minorEastAsia"/>
        </w:rPr>
        <w:t xml:space="preserve"> </w:t>
      </w:r>
      <w:r>
        <w:rPr>
          <w:rFonts w:hAnsi="宋体"/>
        </w:rPr>
        <w:t>681</w:t>
      </w:r>
      <w:r>
        <w:t> </w:t>
      </w:r>
      <w:r>
        <w:rPr>
          <w:rFonts w:hAnsi="宋体"/>
        </w:rPr>
        <w:t>有关技术规范进行巡测，优先布设在巡测</w:t>
      </w:r>
      <w:r>
        <w:rPr>
          <w:rFonts w:hint="eastAsia" w:hAnsi="宋体"/>
        </w:rPr>
        <w:t>结果</w:t>
      </w:r>
      <w:r>
        <w:rPr>
          <w:rFonts w:hAnsi="宋体"/>
        </w:rPr>
        <w:t>最大值位置，并可根据变电站</w:t>
      </w:r>
      <w:r>
        <w:rPr>
          <w:rFonts w:hint="eastAsia" w:hAnsi="宋体"/>
        </w:rPr>
        <w:t>周围</w:t>
      </w:r>
      <w:r>
        <w:rPr>
          <w:rFonts w:hAnsi="宋体"/>
        </w:rPr>
        <w:t>人</w:t>
      </w:r>
      <w:r>
        <w:rPr>
          <w:rFonts w:hint="eastAsia" w:hAnsi="宋体"/>
        </w:rPr>
        <w:t>群</w:t>
      </w:r>
      <w:r>
        <w:rPr>
          <w:rFonts w:hAnsi="宋体"/>
        </w:rPr>
        <w:t>分布适当调整。</w:t>
      </w:r>
    </w:p>
    <w:p>
      <w:pPr>
        <w:pStyle w:val="166"/>
        <w:rPr>
          <w:rFonts w:hAnsi="宋体"/>
        </w:rPr>
      </w:pPr>
      <w:r>
        <w:rPr>
          <w:rFonts w:hAnsi="宋体"/>
        </w:rPr>
        <w:t>广播电视发射台、移动通信基站、雷达等自动监测应优先布设在</w:t>
      </w:r>
      <w:r>
        <w:rPr>
          <w:rFonts w:hint="eastAsia" w:hAnsi="宋体"/>
        </w:rPr>
        <w:t>电磁辐射环境影响</w:t>
      </w:r>
      <w:r>
        <w:rPr>
          <w:rFonts w:hAnsi="宋体"/>
        </w:rPr>
        <w:t>评价或</w:t>
      </w:r>
      <w:r>
        <w:rPr>
          <w:rFonts w:hint="eastAsia" w:hAnsi="宋体"/>
        </w:rPr>
        <w:t>电磁辐射水平</w:t>
      </w:r>
      <w:r>
        <w:rPr>
          <w:rFonts w:hAnsi="宋体"/>
        </w:rPr>
        <w:t>监测范围内</w:t>
      </w:r>
      <w:r>
        <w:rPr>
          <w:rFonts w:hint="eastAsia" w:hAnsi="宋体"/>
        </w:rPr>
        <w:t>，</w:t>
      </w:r>
      <w:r>
        <w:rPr>
          <w:rFonts w:hAnsi="宋体"/>
        </w:rPr>
        <w:t>公众通常可到达</w:t>
      </w:r>
      <w:r>
        <w:rPr>
          <w:rFonts w:hint="eastAsia" w:hAnsi="宋体"/>
        </w:rPr>
        <w:t>的</w:t>
      </w:r>
      <w:r>
        <w:rPr>
          <w:rFonts w:hAnsi="宋体"/>
        </w:rPr>
        <w:t>最近地点；采用定向发射</w:t>
      </w:r>
      <w:r>
        <w:rPr>
          <w:rFonts w:hint="eastAsia" w:hAnsi="宋体"/>
        </w:rPr>
        <w:t>天线</w:t>
      </w:r>
      <w:r>
        <w:rPr>
          <w:rFonts w:hAnsi="宋体"/>
        </w:rPr>
        <w:t>的</w:t>
      </w:r>
      <w:r>
        <w:rPr>
          <w:rFonts w:hint="eastAsia" w:hAnsi="宋体"/>
        </w:rPr>
        <w:t>上述</w:t>
      </w:r>
      <w:r>
        <w:rPr>
          <w:rFonts w:hAnsi="宋体"/>
        </w:rPr>
        <w:t>设施，应布设在</w:t>
      </w:r>
      <w:r>
        <w:rPr>
          <w:rFonts w:hint="eastAsia" w:hAnsi="宋体"/>
        </w:rPr>
        <w:t>天线</w:t>
      </w:r>
      <w:r>
        <w:rPr>
          <w:rFonts w:hAnsi="宋体"/>
        </w:rPr>
        <w:t>主瓣方向上。</w:t>
      </w:r>
    </w:p>
    <w:bookmarkEnd w:id="64"/>
    <w:p>
      <w:pPr>
        <w:pStyle w:val="105"/>
        <w:spacing w:before="240" w:after="240"/>
      </w:pPr>
      <w:bookmarkStart w:id="69" w:name="_Toc165908040"/>
      <w:bookmarkStart w:id="70" w:name="_Toc9170"/>
      <w:bookmarkStart w:id="71" w:name="_Toc10368"/>
      <w:bookmarkStart w:id="72" w:name="_Toc24569"/>
      <w:bookmarkStart w:id="73" w:name="_Toc32104"/>
      <w:r>
        <w:t>监测系统</w:t>
      </w:r>
      <w:bookmarkEnd w:id="65"/>
      <w:bookmarkEnd w:id="66"/>
      <w:bookmarkEnd w:id="69"/>
      <w:bookmarkEnd w:id="70"/>
      <w:bookmarkEnd w:id="71"/>
      <w:bookmarkEnd w:id="72"/>
      <w:bookmarkEnd w:id="73"/>
    </w:p>
    <w:p>
      <w:pPr>
        <w:pStyle w:val="106"/>
        <w:spacing w:before="120" w:after="120"/>
      </w:pPr>
      <w:bookmarkStart w:id="74" w:name="_Toc165908041"/>
      <w:r>
        <w:t>一般要求</w:t>
      </w:r>
      <w:bookmarkEnd w:id="74"/>
    </w:p>
    <w:p>
      <w:pPr>
        <w:pStyle w:val="166"/>
        <w:rPr>
          <w:rFonts w:hAnsi="宋体"/>
        </w:rPr>
      </w:pPr>
      <w:r>
        <w:rPr>
          <w:rFonts w:hint="eastAsia" w:hAnsi="宋体"/>
        </w:rPr>
        <w:t>电磁辐射环境</w:t>
      </w:r>
      <w:r>
        <w:rPr>
          <w:rFonts w:hAnsi="宋体"/>
        </w:rPr>
        <w:t>自动监测系统通过监测站点连续自动采集、计算和发送数据，实现</w:t>
      </w:r>
      <w:r>
        <w:t> </w:t>
      </w:r>
      <w:r>
        <w:rPr>
          <w:rFonts w:hAnsi="宋体"/>
        </w:rPr>
        <w:t>24</w:t>
      </w:r>
      <w:r>
        <w:t> </w:t>
      </w:r>
      <w:r>
        <w:rPr>
          <w:rFonts w:hAnsi="宋体"/>
        </w:rPr>
        <w:t>小时</w:t>
      </w:r>
      <w:r>
        <w:rPr>
          <w:rFonts w:hint="eastAsia" w:hAnsi="宋体"/>
        </w:rPr>
        <w:t>连续</w:t>
      </w:r>
      <w:r>
        <w:rPr>
          <w:rFonts w:hAnsi="宋体"/>
        </w:rPr>
        <w:t>自动监测和监测信息远程管理</w:t>
      </w:r>
      <w:r>
        <w:rPr>
          <w:rFonts w:hint="eastAsia" w:hAnsi="宋体"/>
        </w:rPr>
        <w:t>。</w:t>
      </w:r>
    </w:p>
    <w:p>
      <w:pPr>
        <w:pStyle w:val="166"/>
        <w:rPr>
          <w:rFonts w:hAnsi="宋体"/>
        </w:rPr>
      </w:pPr>
      <w:r>
        <w:rPr>
          <w:rFonts w:hAnsi="宋体"/>
        </w:rPr>
        <w:t>监测系统一般由监测设备、数据系统、电源系统、报警系统及辅助设备组成</w:t>
      </w:r>
      <w:r>
        <w:rPr>
          <w:rFonts w:hint="eastAsia" w:hAnsi="宋体"/>
        </w:rPr>
        <w:t>。</w:t>
      </w:r>
      <w:r>
        <w:rPr>
          <w:rFonts w:hAnsi="宋体"/>
        </w:rPr>
        <w:t>监测系统</w:t>
      </w:r>
      <w:r>
        <w:rPr>
          <w:rFonts w:hint="eastAsia" w:hAnsi="宋体"/>
        </w:rPr>
        <w:t>的</w:t>
      </w:r>
      <w:r>
        <w:rPr>
          <w:rFonts w:hAnsi="宋体"/>
        </w:rPr>
        <w:t>防尘防水性能</w:t>
      </w:r>
      <w:r>
        <w:rPr>
          <w:rFonts w:hint="eastAsia" w:hAnsi="宋体"/>
        </w:rPr>
        <w:t>应</w:t>
      </w:r>
      <w:r>
        <w:rPr>
          <w:rFonts w:hAnsi="宋体"/>
        </w:rPr>
        <w:t>满足</w:t>
      </w:r>
      <w:r>
        <w:t> </w:t>
      </w:r>
      <w:r>
        <w:rPr>
          <w:rFonts w:hAnsi="宋体"/>
        </w:rPr>
        <w:t>GB/T 4208</w:t>
      </w:r>
      <w:r>
        <w:t> </w:t>
      </w:r>
      <w:r>
        <w:rPr>
          <w:rFonts w:hAnsi="宋体"/>
        </w:rPr>
        <w:t>中</w:t>
      </w:r>
      <w:r>
        <w:t> </w:t>
      </w:r>
      <w:r>
        <w:rPr>
          <w:rFonts w:hAnsi="宋体"/>
        </w:rPr>
        <w:t>IP54</w:t>
      </w:r>
      <w:r>
        <w:t> </w:t>
      </w:r>
      <w:r>
        <w:rPr>
          <w:rFonts w:hAnsi="宋体"/>
        </w:rPr>
        <w:t>的要求。在监测系统出现故障、损毁，或</w:t>
      </w:r>
      <w:r>
        <w:rPr>
          <w:rFonts w:hint="eastAsia" w:hAnsi="宋体"/>
        </w:rPr>
        <w:t>计划外</w:t>
      </w:r>
      <w:r>
        <w:rPr>
          <w:rFonts w:hAnsi="宋体"/>
        </w:rPr>
        <w:t>人为靠近时，监测系统自动发出声光报警并向后台发送提醒信息。</w:t>
      </w:r>
    </w:p>
    <w:p>
      <w:pPr>
        <w:pStyle w:val="166"/>
        <w:rPr>
          <w:rFonts w:hAnsi="宋体"/>
        </w:rPr>
      </w:pPr>
      <w:r>
        <w:rPr>
          <w:rFonts w:hAnsi="宋体"/>
        </w:rPr>
        <w:t>数据系统包括子站端的数据采集、存储和传输</w:t>
      </w:r>
      <w:r>
        <w:rPr>
          <w:rFonts w:hint="eastAsia" w:hAnsi="宋体"/>
        </w:rPr>
        <w:t>，以及</w:t>
      </w:r>
      <w:r>
        <w:rPr>
          <w:rFonts w:hAnsi="宋体"/>
        </w:rPr>
        <w:t>平台端的数据管理软件。数据系统</w:t>
      </w:r>
      <w:r>
        <w:rPr>
          <w:rFonts w:hint="eastAsia" w:hAnsi="宋体"/>
        </w:rPr>
        <w:t>应</w:t>
      </w:r>
      <w:r>
        <w:rPr>
          <w:rFonts w:hAnsi="宋体"/>
        </w:rPr>
        <w:t>具备本地存储功能，</w:t>
      </w:r>
      <w:r>
        <w:rPr>
          <w:rFonts w:hint="eastAsia" w:hAnsi="宋体"/>
        </w:rPr>
        <w:t>单个</w:t>
      </w:r>
      <w:r>
        <w:rPr>
          <w:rFonts w:hAnsi="宋体"/>
        </w:rPr>
        <w:t>监测站点的本地数据存储不小于</w:t>
      </w:r>
      <w:r>
        <w:t> </w:t>
      </w:r>
      <w:r>
        <w:rPr>
          <w:rFonts w:hAnsi="宋体"/>
        </w:rPr>
        <w:t>500</w:t>
      </w:r>
      <w:r>
        <w:t> </w:t>
      </w:r>
      <w:r>
        <w:rPr>
          <w:rFonts w:hAnsi="宋体"/>
        </w:rPr>
        <w:t>G</w:t>
      </w:r>
      <w:r>
        <w:rPr>
          <w:rFonts w:hint="eastAsia" w:hAnsi="宋体"/>
        </w:rPr>
        <w:t>B（或</w:t>
      </w:r>
      <w:r>
        <w:rPr>
          <w:rFonts w:hAnsi="宋体"/>
        </w:rPr>
        <w:t>不小于</w:t>
      </w:r>
      <w:r>
        <w:t> </w:t>
      </w:r>
      <w:r>
        <w:rPr>
          <w:rFonts w:hAnsi="宋体"/>
        </w:rPr>
        <w:t>3</w:t>
      </w:r>
      <w:r>
        <w:t> </w:t>
      </w:r>
      <w:r>
        <w:rPr>
          <w:rFonts w:hAnsi="宋体"/>
        </w:rPr>
        <w:t>个月的数据存储量</w:t>
      </w:r>
      <w:r>
        <w:rPr>
          <w:rFonts w:hint="eastAsia" w:hAnsi="宋体"/>
        </w:rPr>
        <w:t>）</w:t>
      </w:r>
      <w:r>
        <w:rPr>
          <w:rFonts w:hAnsi="宋体"/>
        </w:rPr>
        <w:t>。数据传输</w:t>
      </w:r>
      <w:r>
        <w:rPr>
          <w:rFonts w:hint="eastAsia" w:hAnsi="宋体"/>
        </w:rPr>
        <w:t>时间间隔不超过</w:t>
      </w:r>
      <w:r>
        <w:t> </w:t>
      </w:r>
      <w:r>
        <w:rPr>
          <w:rFonts w:hint="eastAsia" w:hAnsi="宋体"/>
        </w:rPr>
        <w:t>3</w:t>
      </w:r>
      <w:r>
        <w:t> </w:t>
      </w:r>
      <w:r>
        <w:rPr>
          <w:rFonts w:hint="eastAsia" w:hAnsi="宋体"/>
        </w:rPr>
        <w:t>秒</w:t>
      </w:r>
      <w:r>
        <w:rPr>
          <w:rFonts w:hAnsi="宋体"/>
        </w:rPr>
        <w:t>，并具备断点续传功能。</w:t>
      </w:r>
    </w:p>
    <w:p>
      <w:pPr>
        <w:pStyle w:val="106"/>
        <w:spacing w:before="120" w:after="120"/>
      </w:pPr>
      <w:bookmarkStart w:id="75" w:name="_Toc165908042"/>
      <w:r>
        <w:t>环境要求</w:t>
      </w:r>
      <w:bookmarkEnd w:id="75"/>
    </w:p>
    <w:p>
      <w:pPr>
        <w:pStyle w:val="57"/>
        <w:ind w:firstLine="420"/>
        <w:rPr>
          <w:rFonts w:hAnsi="宋体"/>
        </w:rPr>
      </w:pPr>
      <w:r>
        <w:rPr>
          <w:rFonts w:hAnsi="宋体"/>
        </w:rPr>
        <w:t>监测系统</w:t>
      </w:r>
      <w:r>
        <w:rPr>
          <w:rFonts w:hint="eastAsia" w:hAnsi="宋体"/>
        </w:rPr>
        <w:t>应能在</w:t>
      </w:r>
      <w:r>
        <w:rPr>
          <w:rFonts w:hAnsi="宋体"/>
        </w:rPr>
        <w:t>环境温度</w:t>
      </w:r>
      <w:r>
        <w:t> </w:t>
      </w:r>
      <w:r>
        <w:rPr>
          <w:rFonts w:hAnsi="宋体"/>
        </w:rPr>
        <w:t>-20</w:t>
      </w:r>
      <w:r>
        <w:t> </w:t>
      </w:r>
      <w:r>
        <w:rPr>
          <w:rFonts w:hAnsi="宋体"/>
        </w:rPr>
        <w:t>℃～60</w:t>
      </w:r>
      <w:r>
        <w:t> </w:t>
      </w:r>
      <w:r>
        <w:rPr>
          <w:rFonts w:hAnsi="宋体"/>
        </w:rPr>
        <w:t>℃</w:t>
      </w:r>
      <w:r>
        <w:t> </w:t>
      </w:r>
      <w:r>
        <w:rPr>
          <w:rFonts w:hint="eastAsia" w:hAnsi="宋体"/>
        </w:rPr>
        <w:t>下正常使用</w:t>
      </w:r>
      <w:r>
        <w:rPr>
          <w:rFonts w:hAnsi="宋体"/>
        </w:rPr>
        <w:t>，</w:t>
      </w:r>
      <w:r>
        <w:rPr>
          <w:rFonts w:hint="eastAsia" w:hAnsi="宋体"/>
        </w:rPr>
        <w:t>环境湿度适应自动站建设地区的湿度变化，实现</w:t>
      </w:r>
      <w:r>
        <w:t> </w:t>
      </w:r>
      <w:r>
        <w:rPr>
          <w:rFonts w:hAnsi="宋体"/>
        </w:rPr>
        <w:t>24</w:t>
      </w:r>
      <w:r>
        <w:t> </w:t>
      </w:r>
      <w:r>
        <w:rPr>
          <w:rFonts w:hAnsi="宋体"/>
        </w:rPr>
        <w:t>小时连续正常工作。</w:t>
      </w:r>
    </w:p>
    <w:p>
      <w:pPr>
        <w:pStyle w:val="106"/>
        <w:spacing w:before="120" w:after="120"/>
      </w:pPr>
      <w:bookmarkStart w:id="76" w:name="_Toc165908043"/>
      <w:r>
        <w:t>监测设备</w:t>
      </w:r>
      <w:bookmarkEnd w:id="76"/>
    </w:p>
    <w:p>
      <w:pPr>
        <w:pStyle w:val="66"/>
        <w:spacing w:before="120" w:after="120"/>
      </w:pPr>
      <w:r>
        <w:t>电性能要求</w:t>
      </w:r>
    </w:p>
    <w:p>
      <w:pPr>
        <w:pStyle w:val="165"/>
      </w:pPr>
      <w:r>
        <w:t>监测</w:t>
      </w:r>
      <w:r>
        <w:rPr>
          <w:rFonts w:hint="eastAsia"/>
        </w:rPr>
        <w:t>设备的</w:t>
      </w:r>
      <w:r>
        <w:t>电性能指标是指</w:t>
      </w:r>
      <w:r>
        <w:rPr>
          <w:rFonts w:hint="eastAsia"/>
        </w:rPr>
        <w:t>其</w:t>
      </w:r>
      <w:r>
        <w:t>物理硬件整体校准所得到</w:t>
      </w:r>
      <w:r>
        <w:rPr>
          <w:rFonts w:hint="eastAsia"/>
        </w:rPr>
        <w:t>的</w:t>
      </w:r>
      <w:r>
        <w:t>指标，监测</w:t>
      </w:r>
      <w:r>
        <w:rPr>
          <w:rFonts w:hint="eastAsia"/>
        </w:rPr>
        <w:t>设备的</w:t>
      </w:r>
      <w:r>
        <w:t>物理硬件包括测量探头、数据单元、供电系统</w:t>
      </w:r>
      <w:r>
        <w:rPr>
          <w:rFonts w:hint="eastAsia"/>
        </w:rPr>
        <w:t>等。</w:t>
      </w:r>
    </w:p>
    <w:p>
      <w:pPr>
        <w:pStyle w:val="165"/>
        <w:rPr>
          <w:szCs w:val="21"/>
        </w:rPr>
      </w:pPr>
      <w:r>
        <w:t>射频电磁环境</w:t>
      </w:r>
      <w:r>
        <w:rPr>
          <w:szCs w:val="21"/>
        </w:rPr>
        <w:t>自动</w:t>
      </w:r>
      <w:r>
        <w:t>监测</w:t>
      </w:r>
      <w:r>
        <w:rPr>
          <w:rFonts w:hint="eastAsia"/>
        </w:rPr>
        <w:t>设备的</w:t>
      </w:r>
      <w:r>
        <w:t>电性能指标应符合表 2 的要求</w:t>
      </w:r>
      <w:r>
        <w:rPr>
          <w:szCs w:val="21"/>
        </w:rPr>
        <w:t>。</w:t>
      </w:r>
    </w:p>
    <w:p>
      <w:pPr>
        <w:pStyle w:val="113"/>
        <w:spacing w:before="120" w:after="120"/>
      </w:pPr>
      <w:r>
        <w:t>射频电磁环境自动监测</w:t>
      </w:r>
      <w:r>
        <w:rPr>
          <w:rFonts w:hint="eastAsia"/>
        </w:rPr>
        <w:t>设备</w:t>
      </w:r>
      <w:r>
        <w:t>电性能指标</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电性能指标</w:t>
            </w:r>
          </w:p>
        </w:tc>
        <w:tc>
          <w:tcPr>
            <w:tcW w:w="46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电性能要求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pPr>
              <w:pStyle w:val="179"/>
              <w:rPr>
                <w:rFonts w:hAnsi="宋体"/>
                <w:szCs w:val="18"/>
              </w:rPr>
            </w:pPr>
            <w:r>
              <w:rPr>
                <w:rFonts w:hAnsi="宋体"/>
                <w:szCs w:val="18"/>
              </w:rPr>
              <w:t>频率响应</w:t>
            </w:r>
          </w:p>
        </w:tc>
        <w:tc>
          <w:tcPr>
            <w:tcW w:w="4667" w:type="dxa"/>
            <w:tcBorders>
              <w:top w:val="single" w:color="auto" w:sz="8" w:space="0"/>
            </w:tcBorders>
            <w:shd w:val="clear" w:color="auto" w:fill="auto"/>
            <w:vAlign w:val="center"/>
          </w:tcPr>
          <w:p>
            <w:pPr>
              <w:pStyle w:val="235"/>
            </w:pPr>
            <w:r>
              <w:t>100 kHz，3 dB</w:t>
            </w:r>
          </w:p>
          <w:p>
            <w:pPr>
              <w:pStyle w:val="235"/>
            </w:pPr>
            <w:r>
              <w:t>100 kHz</w:t>
            </w:r>
            <w:r>
              <w:rPr>
                <w:rFonts w:hint="eastAsia"/>
              </w:rPr>
              <w:t>～</w:t>
            </w:r>
            <w:r>
              <w:t>500</w:t>
            </w:r>
            <w:r>
              <w:rPr>
                <w:rFonts w:hint="eastAsia" w:ascii="MS Mincho" w:hAnsi="MS Mincho" w:eastAsia="MS Mincho" w:cs="MS Mincho"/>
              </w:rPr>
              <w:t> </w:t>
            </w:r>
            <w:r>
              <w:t>kHz，2.5</w:t>
            </w:r>
            <w:r>
              <w:rPr>
                <w:rFonts w:hint="eastAsia" w:ascii="MS Mincho" w:hAnsi="MS Mincho" w:eastAsia="MS Mincho" w:cs="MS Mincho"/>
              </w:rPr>
              <w:t> </w:t>
            </w:r>
            <w:r>
              <w:t>dB</w:t>
            </w:r>
          </w:p>
          <w:p>
            <w:pPr>
              <w:pStyle w:val="235"/>
            </w:pPr>
            <w:r>
              <w:t>500</w:t>
            </w:r>
            <w:r>
              <w:rPr>
                <w:rFonts w:hint="eastAsia" w:ascii="MS Mincho" w:hAnsi="MS Mincho" w:eastAsia="MS Mincho" w:cs="MS Mincho"/>
              </w:rPr>
              <w:t> </w:t>
            </w:r>
            <w:r>
              <w:t>kHz</w:t>
            </w:r>
            <w:r>
              <w:rPr>
                <w:rFonts w:hint="eastAsia"/>
              </w:rPr>
              <w:t>～</w:t>
            </w:r>
            <w:r>
              <w:t>30</w:t>
            </w:r>
            <w:r>
              <w:rPr>
                <w:rFonts w:hint="eastAsia" w:ascii="MS Mincho" w:hAnsi="MS Mincho" w:eastAsia="MS Mincho" w:cs="MS Mincho"/>
              </w:rPr>
              <w:t> </w:t>
            </w:r>
            <w:r>
              <w:t>MHz，1.5</w:t>
            </w:r>
            <w:r>
              <w:rPr>
                <w:rFonts w:hint="eastAsia" w:ascii="MS Mincho" w:hAnsi="MS Mincho" w:eastAsia="MS Mincho" w:cs="MS Mincho"/>
              </w:rPr>
              <w:t> </w:t>
            </w:r>
            <w:r>
              <w:t>dB</w:t>
            </w:r>
          </w:p>
          <w:p>
            <w:pPr>
              <w:pStyle w:val="235"/>
            </w:pPr>
            <w:r>
              <w:t>30</w:t>
            </w:r>
            <w:r>
              <w:rPr>
                <w:rFonts w:hint="eastAsia" w:ascii="MS Mincho" w:hAnsi="MS Mincho" w:eastAsia="MS Mincho" w:cs="MS Mincho"/>
              </w:rPr>
              <w:t> </w:t>
            </w:r>
            <w:r>
              <w:t>MHz</w:t>
            </w:r>
            <w:r>
              <w:rPr>
                <w:rFonts w:hint="eastAsia"/>
              </w:rPr>
              <w:t>～</w:t>
            </w:r>
            <w:r>
              <w:t>900</w:t>
            </w:r>
            <w:r>
              <w:rPr>
                <w:rFonts w:hint="eastAsia" w:ascii="MS Mincho" w:hAnsi="MS Mincho" w:eastAsia="MS Mincho" w:cs="MS Mincho"/>
              </w:rPr>
              <w:t> </w:t>
            </w:r>
            <w:r>
              <w:t>MHz，1.5</w:t>
            </w:r>
            <w:r>
              <w:rPr>
                <w:rFonts w:hint="eastAsia" w:ascii="MS Mincho" w:hAnsi="MS Mincho" w:eastAsia="MS Mincho" w:cs="MS Mincho"/>
              </w:rPr>
              <w:t> </w:t>
            </w:r>
            <w:r>
              <w:t>dB</w:t>
            </w:r>
          </w:p>
          <w:p>
            <w:pPr>
              <w:pStyle w:val="235"/>
            </w:pPr>
            <w:r>
              <w:t>900</w:t>
            </w:r>
            <w:r>
              <w:rPr>
                <w:rFonts w:hint="eastAsia" w:ascii="MS Mincho" w:hAnsi="MS Mincho" w:eastAsia="MS Mincho" w:cs="MS Mincho"/>
              </w:rPr>
              <w:t> </w:t>
            </w:r>
            <w:r>
              <w:t>MHz</w:t>
            </w:r>
            <w:r>
              <w:rPr>
                <w:rFonts w:hint="eastAsia"/>
              </w:rPr>
              <w:t>～</w:t>
            </w:r>
            <w:r>
              <w:t>3</w:t>
            </w:r>
            <w:r>
              <w:rPr>
                <w:rFonts w:hint="eastAsia" w:ascii="MS Mincho" w:hAnsi="MS Mincho" w:eastAsia="MS Mincho" w:cs="MS Mincho"/>
              </w:rPr>
              <w:t> </w:t>
            </w:r>
            <w:r>
              <w:t>GHz，1</w:t>
            </w:r>
            <w:r>
              <w:rPr>
                <w:rFonts w:hint="eastAsia" w:ascii="MS Mincho" w:hAnsi="MS Mincho" w:eastAsia="MS Mincho" w:cs="MS Mincho"/>
              </w:rPr>
              <w:t> </w:t>
            </w:r>
            <w:r>
              <w:t>dB</w:t>
            </w:r>
          </w:p>
          <w:p>
            <w:pPr>
              <w:spacing w:line="240" w:lineRule="auto"/>
              <w:jc w:val="center"/>
              <w:rPr>
                <w:rFonts w:ascii="宋体" w:hAnsi="宋体"/>
                <w:sz w:val="18"/>
                <w:szCs w:val="18"/>
              </w:rPr>
            </w:pPr>
            <w:r>
              <w:rPr>
                <w:rFonts w:ascii="宋体" w:hAnsi="宋体"/>
                <w:sz w:val="18"/>
                <w:szCs w:val="18"/>
              </w:rPr>
              <w:t>3</w:t>
            </w:r>
            <w:r>
              <w:rPr>
                <w:rFonts w:hint="eastAsia" w:ascii="MS Mincho" w:hAnsi="MS Mincho" w:eastAsia="MS Mincho" w:cs="MS Mincho"/>
                <w:sz w:val="18"/>
                <w:szCs w:val="18"/>
              </w:rPr>
              <w:t> </w:t>
            </w:r>
            <w:r>
              <w:rPr>
                <w:rFonts w:ascii="宋体" w:hAnsi="宋体"/>
                <w:sz w:val="18"/>
                <w:szCs w:val="18"/>
              </w:rPr>
              <w:t>GHz</w:t>
            </w:r>
            <w:r>
              <w:rPr>
                <w:rFonts w:hint="eastAsia" w:ascii="宋体" w:hAnsi="宋体"/>
                <w:sz w:val="18"/>
                <w:szCs w:val="18"/>
              </w:rPr>
              <w:t>～</w:t>
            </w:r>
            <w:r>
              <w:rPr>
                <w:rFonts w:ascii="宋体" w:hAnsi="宋体"/>
                <w:sz w:val="18"/>
                <w:szCs w:val="18"/>
              </w:rPr>
              <w:t>6</w:t>
            </w:r>
            <w:r>
              <w:rPr>
                <w:rFonts w:hint="eastAsia" w:ascii="MS Mincho" w:hAnsi="MS Mincho" w:eastAsia="MS Mincho" w:cs="MS Mincho"/>
                <w:sz w:val="18"/>
                <w:szCs w:val="18"/>
              </w:rPr>
              <w:t> </w:t>
            </w:r>
            <w:r>
              <w:rPr>
                <w:rFonts w:ascii="宋体" w:hAnsi="宋体"/>
                <w:sz w:val="18"/>
                <w:szCs w:val="18"/>
              </w:rPr>
              <w:t>GHz，2.5</w:t>
            </w:r>
            <w:r>
              <w:rPr>
                <w:rFonts w:hint="eastAsia" w:ascii="MS Mincho" w:hAnsi="MS Mincho" w:eastAsia="MS Mincho" w:cs="MS Mincho"/>
                <w:sz w:val="18"/>
                <w:szCs w:val="18"/>
              </w:rPr>
              <w:t> </w:t>
            </w:r>
            <w:r>
              <w:rPr>
                <w:rFonts w:ascii="宋体" w:hAnsi="宋体"/>
                <w:sz w:val="18"/>
                <w:szCs w:val="18"/>
              </w:rPr>
              <w:t>dB</w:t>
            </w:r>
          </w:p>
          <w:p>
            <w:pPr>
              <w:pStyle w:val="179"/>
              <w:rPr>
                <w:rFonts w:hAnsi="宋体"/>
                <w:szCs w:val="18"/>
              </w:rPr>
            </w:pPr>
            <w:r>
              <w:rPr>
                <w:rFonts w:hAnsi="宋体"/>
                <w:color w:val="000000"/>
                <w:szCs w:val="18"/>
              </w:rPr>
              <w:t>6</w:t>
            </w:r>
            <w:r>
              <w:rPr>
                <w:rFonts w:hint="eastAsia" w:ascii="MS Mincho" w:hAnsi="MS Mincho" w:eastAsia="MS Mincho" w:cs="MS Mincho"/>
                <w:szCs w:val="18"/>
              </w:rPr>
              <w:t> </w:t>
            </w:r>
            <w:r>
              <w:rPr>
                <w:rFonts w:hAnsi="宋体"/>
                <w:color w:val="000000"/>
                <w:szCs w:val="18"/>
              </w:rPr>
              <w:t>GHz，3</w:t>
            </w:r>
            <w:r>
              <w:rPr>
                <w:rFonts w:hint="eastAsia" w:ascii="MS Mincho" w:hAnsi="MS Mincho" w:eastAsia="MS Mincho" w:cs="MS Mincho"/>
                <w:szCs w:val="18"/>
              </w:rPr>
              <w:t> </w:t>
            </w:r>
            <w:r>
              <w:rPr>
                <w:rFonts w:hAnsi="宋体"/>
                <w:color w:val="000000"/>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线性度</w:t>
            </w:r>
          </w:p>
        </w:tc>
        <w:tc>
          <w:tcPr>
            <w:tcW w:w="4667" w:type="dxa"/>
            <w:shd w:val="clear" w:color="auto" w:fill="auto"/>
            <w:vAlign w:val="center"/>
          </w:tcPr>
          <w:p>
            <w:pPr>
              <w:pStyle w:val="179"/>
              <w:rPr>
                <w:rFonts w:hAnsi="宋体"/>
                <w:szCs w:val="18"/>
              </w:rPr>
            </w:pPr>
            <w:r>
              <w:rPr>
                <w:rFonts w:hAnsi="宋体"/>
                <w:szCs w:val="18"/>
              </w:rPr>
              <w:t>≤1.5</w:t>
            </w:r>
            <w:r>
              <w:rPr>
                <w:rFonts w:hint="eastAsia" w:ascii="MS Mincho" w:hAnsi="MS Mincho" w:eastAsia="MS Mincho" w:cs="MS Mincho"/>
                <w:szCs w:val="18"/>
              </w:rPr>
              <w:t> </w:t>
            </w:r>
            <w:r>
              <w:rPr>
                <w:rFonts w:hAnsi="宋体"/>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各向同性</w:t>
            </w:r>
          </w:p>
        </w:tc>
        <w:tc>
          <w:tcPr>
            <w:tcW w:w="4667" w:type="dxa"/>
            <w:shd w:val="clear" w:color="auto" w:fill="auto"/>
            <w:vAlign w:val="center"/>
          </w:tcPr>
          <w:p>
            <w:pPr>
              <w:pStyle w:val="235"/>
            </w:pPr>
            <w:r>
              <w:t>100</w:t>
            </w:r>
            <w:r>
              <w:rPr>
                <w:rFonts w:hint="eastAsia" w:ascii="MS Mincho" w:hAnsi="MS Mincho" w:eastAsia="MS Mincho" w:cs="MS Mincho"/>
              </w:rPr>
              <w:t> </w:t>
            </w:r>
            <w:r>
              <w:t>kHz</w:t>
            </w:r>
            <w:r>
              <w:rPr>
                <w:rFonts w:hint="eastAsia"/>
              </w:rPr>
              <w:t>～</w:t>
            </w:r>
            <w:r>
              <w:t>3</w:t>
            </w:r>
            <w:r>
              <w:rPr>
                <w:rFonts w:hint="eastAsia" w:ascii="MS Mincho" w:hAnsi="MS Mincho" w:eastAsia="MS Mincho" w:cs="MS Mincho"/>
              </w:rPr>
              <w:t> </w:t>
            </w:r>
            <w:r>
              <w:t>GHz，1</w:t>
            </w:r>
            <w:r>
              <w:rPr>
                <w:rFonts w:hint="eastAsia" w:ascii="MS Mincho" w:hAnsi="MS Mincho" w:eastAsia="MS Mincho" w:cs="MS Mincho"/>
              </w:rPr>
              <w:t> </w:t>
            </w:r>
            <w:r>
              <w:t>dB</w:t>
            </w:r>
          </w:p>
          <w:p>
            <w:pPr>
              <w:pStyle w:val="179"/>
              <w:rPr>
                <w:rFonts w:hAnsi="宋体"/>
                <w:szCs w:val="18"/>
              </w:rPr>
            </w:pPr>
            <w:r>
              <w:rPr>
                <w:rFonts w:hAnsi="宋体"/>
                <w:szCs w:val="18"/>
              </w:rPr>
              <w:t>3</w:t>
            </w:r>
            <w:r>
              <w:rPr>
                <w:rFonts w:hint="eastAsia" w:ascii="MS Mincho" w:hAnsi="MS Mincho" w:eastAsia="MS Mincho" w:cs="MS Mincho"/>
                <w:szCs w:val="18"/>
              </w:rPr>
              <w:t> </w:t>
            </w:r>
            <w:r>
              <w:rPr>
                <w:rFonts w:hAnsi="宋体"/>
                <w:szCs w:val="18"/>
              </w:rPr>
              <w:t>GHz</w:t>
            </w:r>
            <w:r>
              <w:rPr>
                <w:rFonts w:hint="eastAsia" w:hAnsi="宋体"/>
                <w:szCs w:val="18"/>
              </w:rPr>
              <w:t>～</w:t>
            </w:r>
            <w:r>
              <w:rPr>
                <w:rFonts w:hAnsi="宋体"/>
                <w:szCs w:val="18"/>
              </w:rPr>
              <w:t>6</w:t>
            </w:r>
            <w:r>
              <w:rPr>
                <w:rFonts w:hint="eastAsia" w:ascii="MS Mincho" w:hAnsi="MS Mincho" w:eastAsia="MS Mincho" w:cs="MS Mincho"/>
                <w:szCs w:val="18"/>
              </w:rPr>
              <w:t> </w:t>
            </w:r>
            <w:r>
              <w:rPr>
                <w:rFonts w:hAnsi="宋体"/>
                <w:szCs w:val="18"/>
              </w:rPr>
              <w:t>GHz，2dB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动态范围</w:t>
            </w:r>
          </w:p>
        </w:tc>
        <w:tc>
          <w:tcPr>
            <w:tcW w:w="4667" w:type="dxa"/>
            <w:shd w:val="clear" w:color="auto" w:fill="auto"/>
            <w:vAlign w:val="center"/>
          </w:tcPr>
          <w:p>
            <w:pPr>
              <w:pStyle w:val="179"/>
              <w:rPr>
                <w:rFonts w:hAnsi="宋体"/>
                <w:szCs w:val="18"/>
              </w:rPr>
            </w:pPr>
            <w:r>
              <w:rPr>
                <w:rFonts w:hAnsi="宋体"/>
                <w:szCs w:val="18"/>
              </w:rPr>
              <w:t>≥60</w:t>
            </w:r>
            <w:r>
              <w:rPr>
                <w:rFonts w:hint="eastAsia" w:ascii="MS Mincho" w:hAnsi="MS Mincho" w:eastAsia="MS Mincho" w:cs="MS Mincho"/>
                <w:szCs w:val="18"/>
              </w:rPr>
              <w:t> </w:t>
            </w:r>
            <w:r>
              <w:rPr>
                <w:rFonts w:hAnsi="宋体"/>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bottom w:val="single" w:color="auto" w:sz="8" w:space="0"/>
            </w:tcBorders>
            <w:shd w:val="clear" w:color="auto" w:fill="auto"/>
            <w:vAlign w:val="center"/>
          </w:tcPr>
          <w:p>
            <w:pPr>
              <w:pStyle w:val="179"/>
              <w:rPr>
                <w:rFonts w:hAnsi="宋体"/>
                <w:szCs w:val="18"/>
              </w:rPr>
            </w:pPr>
            <w:r>
              <w:rPr>
                <w:rFonts w:hint="eastAsia" w:hAnsi="宋体"/>
                <w:szCs w:val="18"/>
              </w:rPr>
              <w:t>测量</w:t>
            </w:r>
            <w:r>
              <w:rPr>
                <w:rFonts w:hAnsi="宋体"/>
                <w:szCs w:val="18"/>
              </w:rPr>
              <w:t>探头检出限</w:t>
            </w:r>
          </w:p>
        </w:tc>
        <w:tc>
          <w:tcPr>
            <w:tcW w:w="4667" w:type="dxa"/>
            <w:tcBorders>
              <w:bottom w:val="single" w:color="auto" w:sz="8" w:space="0"/>
            </w:tcBorders>
            <w:shd w:val="clear" w:color="auto" w:fill="auto"/>
            <w:vAlign w:val="center"/>
          </w:tcPr>
          <w:p>
            <w:pPr>
              <w:pStyle w:val="179"/>
              <w:rPr>
                <w:rFonts w:hAnsi="宋体"/>
                <w:szCs w:val="18"/>
              </w:rPr>
            </w:pPr>
            <w:r>
              <w:rPr>
                <w:rFonts w:hAnsi="宋体"/>
                <w:szCs w:val="18"/>
              </w:rPr>
              <w:t>≤0.05</w:t>
            </w:r>
            <w:r>
              <w:rPr>
                <w:rFonts w:hint="eastAsia" w:ascii="MS Mincho" w:hAnsi="MS Mincho" w:eastAsia="MS Mincho" w:cs="MS Mincho"/>
                <w:szCs w:val="18"/>
              </w:rPr>
              <w:t> </w:t>
            </w:r>
            <w:r>
              <w:rPr>
                <w:rFonts w:hAnsi="宋体"/>
                <w:szCs w:val="18"/>
              </w:rPr>
              <w:t>V/m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tcBorders>
              <w:top w:val="single" w:color="auto" w:sz="8" w:space="0"/>
              <w:bottom w:val="single" w:color="auto" w:sz="8" w:space="0"/>
            </w:tcBorders>
            <w:shd w:val="clear" w:color="auto" w:fill="auto"/>
            <w:vAlign w:val="center"/>
          </w:tcPr>
          <w:p>
            <w:pPr>
              <w:pStyle w:val="180"/>
              <w:rPr>
                <w:rFonts w:hAnsi="宋体"/>
              </w:rPr>
            </w:pPr>
            <w:r>
              <w:rPr>
                <w:rFonts w:hint="eastAsia" w:hAnsi="宋体"/>
              </w:rPr>
              <w:t>表中频率区间的频率下限不包含该频率点。</w:t>
            </w:r>
          </w:p>
        </w:tc>
      </w:tr>
    </w:tbl>
    <w:p>
      <w:pPr>
        <w:pStyle w:val="165"/>
        <w:rPr>
          <w:szCs w:val="21"/>
        </w:rPr>
      </w:pPr>
      <w:r>
        <w:t>工频电磁环境自动监测</w:t>
      </w:r>
      <w:r>
        <w:rPr>
          <w:rFonts w:hint="eastAsia"/>
        </w:rPr>
        <w:t>设备</w:t>
      </w:r>
      <w:r>
        <w:rPr>
          <w:szCs w:val="21"/>
        </w:rPr>
        <w:t>优先选用具有</w:t>
      </w:r>
      <w:r>
        <w:t> </w:t>
      </w:r>
      <w:r>
        <w:rPr>
          <w:szCs w:val="21"/>
        </w:rPr>
        <w:t>50</w:t>
      </w:r>
      <w:r>
        <w:t> </w:t>
      </w:r>
      <w:r>
        <w:rPr>
          <w:szCs w:val="21"/>
        </w:rPr>
        <w:t>Hz</w:t>
      </w:r>
      <w:r>
        <w:t> </w:t>
      </w:r>
      <w:r>
        <w:rPr>
          <w:szCs w:val="21"/>
        </w:rPr>
        <w:t>频点测量功能的探头</w:t>
      </w:r>
      <w:r>
        <w:rPr>
          <w:rFonts w:hint="eastAsia"/>
          <w:szCs w:val="21"/>
        </w:rPr>
        <w:t>，监测设备的</w:t>
      </w:r>
      <w:r>
        <w:t>电性能指标应符合表 3 的要求</w:t>
      </w:r>
      <w:r>
        <w:rPr>
          <w:rFonts w:hint="eastAsia"/>
        </w:rPr>
        <w:t>。</w:t>
      </w:r>
    </w:p>
    <w:p>
      <w:pPr>
        <w:pStyle w:val="113"/>
        <w:spacing w:before="120" w:after="120"/>
      </w:pPr>
      <w:r>
        <w:t>工频电磁环境自动监测</w:t>
      </w:r>
      <w:r>
        <w:rPr>
          <w:rFonts w:hint="eastAsia"/>
        </w:rPr>
        <w:t>设备</w:t>
      </w:r>
      <w:r>
        <w:t>电性能指标</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电性能指标</w:t>
            </w:r>
          </w:p>
        </w:tc>
        <w:tc>
          <w:tcPr>
            <w:tcW w:w="46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电性能要求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pPr>
              <w:pStyle w:val="179"/>
              <w:rPr>
                <w:rFonts w:hAnsi="宋体"/>
                <w:szCs w:val="18"/>
              </w:rPr>
            </w:pPr>
            <w:r>
              <w:rPr>
                <w:rFonts w:hAnsi="宋体"/>
                <w:szCs w:val="18"/>
              </w:rPr>
              <w:t>频率响应</w:t>
            </w:r>
          </w:p>
        </w:tc>
        <w:tc>
          <w:tcPr>
            <w:tcW w:w="4667" w:type="dxa"/>
            <w:tcBorders>
              <w:top w:val="single" w:color="auto" w:sz="8" w:space="0"/>
            </w:tcBorders>
            <w:shd w:val="clear" w:color="auto" w:fill="auto"/>
            <w:vAlign w:val="center"/>
          </w:tcPr>
          <w:p>
            <w:pPr>
              <w:pStyle w:val="179"/>
              <w:rPr>
                <w:rFonts w:hAnsi="宋体"/>
                <w:szCs w:val="18"/>
              </w:rPr>
            </w:pPr>
            <w:r>
              <w:rPr>
                <w:rFonts w:hAnsi="宋体"/>
                <w:szCs w:val="18"/>
              </w:rPr>
              <w:t>1</w:t>
            </w:r>
            <w:r>
              <w:rPr>
                <w:rFonts w:hint="eastAsia" w:ascii="MS Mincho" w:hAnsi="MS Mincho" w:eastAsia="MS Mincho" w:cs="MS Mincho"/>
                <w:szCs w:val="18"/>
              </w:rPr>
              <w:t> </w:t>
            </w:r>
            <w:r>
              <w:rPr>
                <w:rFonts w:hAnsi="宋体"/>
                <w:szCs w:val="18"/>
              </w:rPr>
              <w:t>Hz</w:t>
            </w:r>
            <w:r>
              <w:rPr>
                <w:rFonts w:hint="eastAsia" w:hAnsi="宋体"/>
                <w:szCs w:val="18"/>
              </w:rPr>
              <w:t>～</w:t>
            </w:r>
            <w:r>
              <w:rPr>
                <w:rFonts w:hAnsi="宋体"/>
                <w:szCs w:val="18"/>
              </w:rPr>
              <w:t>100</w:t>
            </w:r>
            <w:r>
              <w:rPr>
                <w:rFonts w:hint="eastAsia" w:ascii="MS Mincho" w:hAnsi="MS Mincho" w:eastAsia="MS Mincho" w:cs="MS Mincho"/>
                <w:szCs w:val="18"/>
              </w:rPr>
              <w:t> </w:t>
            </w:r>
            <w:r>
              <w:rPr>
                <w:rFonts w:hAnsi="宋体"/>
                <w:szCs w:val="18"/>
              </w:rPr>
              <w:t>kHz，1</w:t>
            </w:r>
            <w:r>
              <w:rPr>
                <w:rFonts w:hint="eastAsia" w:ascii="MS Mincho" w:hAnsi="MS Mincho" w:eastAsia="MS Mincho" w:cs="MS Mincho"/>
                <w:szCs w:val="18"/>
              </w:rPr>
              <w:t> </w:t>
            </w:r>
            <w:r>
              <w:rPr>
                <w:rFonts w:hAnsi="宋体"/>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线性度</w:t>
            </w:r>
          </w:p>
        </w:tc>
        <w:tc>
          <w:tcPr>
            <w:tcW w:w="4667" w:type="dxa"/>
            <w:shd w:val="clear" w:color="auto" w:fill="auto"/>
            <w:vAlign w:val="center"/>
          </w:tcPr>
          <w:p>
            <w:pPr>
              <w:pStyle w:val="179"/>
              <w:rPr>
                <w:rFonts w:hAnsi="宋体"/>
                <w:szCs w:val="18"/>
              </w:rPr>
            </w:pPr>
            <w:r>
              <w:rPr>
                <w:rFonts w:hAnsi="宋体"/>
                <w:szCs w:val="18"/>
              </w:rPr>
              <w:t>≤1</w:t>
            </w:r>
            <w:r>
              <w:rPr>
                <w:rFonts w:hint="eastAsia" w:ascii="MS Mincho" w:hAnsi="MS Mincho" w:eastAsia="MS Mincho" w:cs="MS Mincho"/>
                <w:szCs w:val="18"/>
              </w:rPr>
              <w:t> </w:t>
            </w:r>
            <w:r>
              <w:rPr>
                <w:rFonts w:hAnsi="宋体"/>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各向同性</w:t>
            </w:r>
          </w:p>
        </w:tc>
        <w:tc>
          <w:tcPr>
            <w:tcW w:w="4667" w:type="dxa"/>
            <w:shd w:val="clear" w:color="auto" w:fill="auto"/>
            <w:vAlign w:val="center"/>
          </w:tcPr>
          <w:p>
            <w:pPr>
              <w:pStyle w:val="179"/>
              <w:rPr>
                <w:rFonts w:hAnsi="宋体"/>
                <w:szCs w:val="18"/>
              </w:rPr>
            </w:pPr>
            <w:r>
              <w:rPr>
                <w:rFonts w:hAnsi="宋体"/>
                <w:szCs w:val="18"/>
              </w:rPr>
              <w:t>1</w:t>
            </w:r>
            <w:r>
              <w:rPr>
                <w:rFonts w:hint="eastAsia" w:ascii="MS Mincho" w:hAnsi="MS Mincho" w:eastAsia="MS Mincho" w:cs="MS Mincho"/>
                <w:szCs w:val="18"/>
              </w:rPr>
              <w:t> </w:t>
            </w:r>
            <w:r>
              <w:rPr>
                <w:rFonts w:hAnsi="宋体"/>
                <w:szCs w:val="18"/>
              </w:rPr>
              <w:t>Hz</w:t>
            </w:r>
            <w:r>
              <w:rPr>
                <w:rFonts w:hint="eastAsia" w:hAnsi="宋体"/>
                <w:szCs w:val="18"/>
              </w:rPr>
              <w:t>～</w:t>
            </w:r>
            <w:r>
              <w:rPr>
                <w:rFonts w:hAnsi="宋体"/>
                <w:szCs w:val="18"/>
              </w:rPr>
              <w:t>100</w:t>
            </w:r>
            <w:r>
              <w:rPr>
                <w:rFonts w:hint="eastAsia" w:ascii="MS Mincho" w:hAnsi="MS Mincho" w:eastAsia="MS Mincho" w:cs="MS Mincho"/>
                <w:szCs w:val="18"/>
              </w:rPr>
              <w:t> </w:t>
            </w:r>
            <w:r>
              <w:rPr>
                <w:rFonts w:hAnsi="宋体"/>
                <w:szCs w:val="18"/>
              </w:rPr>
              <w:t>kHz，1</w:t>
            </w:r>
            <w:r>
              <w:rPr>
                <w:rFonts w:hint="eastAsia" w:ascii="MS Mincho" w:hAnsi="MS Mincho" w:eastAsia="MS Mincho" w:cs="MS Mincho"/>
                <w:szCs w:val="18"/>
              </w:rPr>
              <w:t> </w:t>
            </w:r>
            <w:r>
              <w:rPr>
                <w:rFonts w:hAnsi="宋体"/>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动态范围</w:t>
            </w:r>
          </w:p>
        </w:tc>
        <w:tc>
          <w:tcPr>
            <w:tcW w:w="4667" w:type="dxa"/>
            <w:shd w:val="clear" w:color="auto" w:fill="auto"/>
            <w:vAlign w:val="center"/>
          </w:tcPr>
          <w:p>
            <w:pPr>
              <w:pStyle w:val="179"/>
              <w:rPr>
                <w:rFonts w:hAnsi="宋体"/>
                <w:szCs w:val="18"/>
              </w:rPr>
            </w:pPr>
            <w:r>
              <w:rPr>
                <w:rFonts w:hAnsi="宋体"/>
                <w:szCs w:val="18"/>
              </w:rPr>
              <w:t>≥60</w:t>
            </w:r>
            <w:r>
              <w:rPr>
                <w:rFonts w:hint="eastAsia" w:ascii="MS Mincho" w:hAnsi="MS Mincho" w:eastAsia="MS Mincho" w:cs="MS Mincho"/>
                <w:szCs w:val="18"/>
              </w:rPr>
              <w:t> </w:t>
            </w:r>
            <w:r>
              <w:rPr>
                <w:rFonts w:hAnsi="宋体"/>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int="eastAsia" w:hAnsi="宋体"/>
                <w:szCs w:val="18"/>
              </w:rPr>
              <w:t>测量</w:t>
            </w:r>
            <w:r>
              <w:rPr>
                <w:rFonts w:hAnsi="宋体"/>
                <w:szCs w:val="18"/>
              </w:rPr>
              <w:t>探头检出限</w:t>
            </w:r>
          </w:p>
        </w:tc>
        <w:tc>
          <w:tcPr>
            <w:tcW w:w="4667" w:type="dxa"/>
            <w:shd w:val="clear" w:color="auto" w:fill="auto"/>
            <w:vAlign w:val="center"/>
          </w:tcPr>
          <w:p>
            <w:pPr>
              <w:pStyle w:val="235"/>
            </w:pPr>
            <w:r>
              <w:t>≤0.05</w:t>
            </w:r>
            <w:r>
              <w:rPr>
                <w:rFonts w:hint="eastAsia" w:ascii="MS Mincho" w:hAnsi="MS Mincho" w:eastAsia="MS Mincho" w:cs="MS Mincho"/>
              </w:rPr>
              <w:t> </w:t>
            </w:r>
            <w:r>
              <w:t>V/m（电场）</w:t>
            </w:r>
          </w:p>
          <w:p>
            <w:pPr>
              <w:pStyle w:val="179"/>
              <w:rPr>
                <w:rFonts w:hAnsi="宋体"/>
                <w:szCs w:val="18"/>
              </w:rPr>
            </w:pPr>
            <w:r>
              <w:rPr>
                <w:rFonts w:hAnsi="宋体"/>
                <w:szCs w:val="18"/>
              </w:rPr>
              <w:t>≤10</w:t>
            </w:r>
            <w:r>
              <w:rPr>
                <w:rFonts w:hint="eastAsia" w:ascii="MS Mincho" w:hAnsi="MS Mincho" w:eastAsia="MS Mincho" w:cs="MS Mincho"/>
                <w:szCs w:val="18"/>
              </w:rPr>
              <w:t> </w:t>
            </w:r>
            <w:r>
              <w:rPr>
                <w:rFonts w:hAnsi="宋体"/>
                <w:szCs w:val="18"/>
              </w:rPr>
              <w:t>nT（磁场）</w:t>
            </w:r>
          </w:p>
        </w:tc>
      </w:tr>
    </w:tbl>
    <w:p>
      <w:pPr>
        <w:pStyle w:val="165"/>
        <w:rPr>
          <w:szCs w:val="21"/>
        </w:rPr>
      </w:pPr>
      <w:r>
        <w:t>雷达自动监测</w:t>
      </w:r>
      <w:r>
        <w:rPr>
          <w:rFonts w:hint="eastAsia"/>
        </w:rPr>
        <w:t>设备的</w:t>
      </w:r>
      <w:r>
        <w:t>电性能指标应符合表</w:t>
      </w:r>
      <w:r>
        <w:rPr>
          <w:rFonts w:hint="eastAsia"/>
        </w:rPr>
        <w:t>4</w:t>
      </w:r>
      <w:r>
        <w:t>的要求</w:t>
      </w:r>
      <w:r>
        <w:rPr>
          <w:rFonts w:hint="eastAsia"/>
        </w:rPr>
        <w:t>。</w:t>
      </w:r>
    </w:p>
    <w:p>
      <w:pPr>
        <w:pStyle w:val="113"/>
        <w:spacing w:before="120" w:after="120"/>
      </w:pPr>
      <w:r>
        <w:t>雷达电磁辐射自动监测</w:t>
      </w:r>
      <w:r>
        <w:rPr>
          <w:rFonts w:hint="eastAsia"/>
        </w:rPr>
        <w:t>设备</w:t>
      </w:r>
      <w:r>
        <w:t>电性能指标</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电性能指标</w:t>
            </w:r>
          </w:p>
        </w:tc>
        <w:tc>
          <w:tcPr>
            <w:tcW w:w="4667" w:type="dxa"/>
            <w:tcBorders>
              <w:top w:val="single" w:color="auto" w:sz="8" w:space="0"/>
              <w:bottom w:val="single" w:color="auto" w:sz="8" w:space="0"/>
            </w:tcBorders>
            <w:shd w:val="clear" w:color="auto" w:fill="auto"/>
            <w:vAlign w:val="center"/>
          </w:tcPr>
          <w:p>
            <w:pPr>
              <w:pStyle w:val="179"/>
              <w:rPr>
                <w:rFonts w:hAnsi="宋体"/>
                <w:szCs w:val="18"/>
              </w:rPr>
            </w:pPr>
            <w:r>
              <w:rPr>
                <w:rFonts w:hAnsi="宋体"/>
                <w:szCs w:val="18"/>
              </w:rPr>
              <w:t>电性能要求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pPr>
              <w:pStyle w:val="179"/>
              <w:rPr>
                <w:rFonts w:hAnsi="宋体"/>
                <w:szCs w:val="18"/>
              </w:rPr>
            </w:pPr>
            <w:r>
              <w:rPr>
                <w:rFonts w:hAnsi="宋体"/>
                <w:szCs w:val="18"/>
              </w:rPr>
              <w:t>频率响应</w:t>
            </w:r>
          </w:p>
        </w:tc>
        <w:tc>
          <w:tcPr>
            <w:tcW w:w="4667" w:type="dxa"/>
            <w:tcBorders>
              <w:top w:val="single" w:color="auto" w:sz="8" w:space="0"/>
            </w:tcBorders>
            <w:shd w:val="clear" w:color="auto" w:fill="auto"/>
            <w:vAlign w:val="center"/>
          </w:tcPr>
          <w:p>
            <w:pPr>
              <w:pStyle w:val="57"/>
              <w:ind w:firstLine="0" w:firstLineChars="0"/>
              <w:jc w:val="center"/>
              <w:rPr>
                <w:rFonts w:hAnsi="宋体"/>
                <w:sz w:val="18"/>
                <w:szCs w:val="18"/>
              </w:rPr>
            </w:pPr>
            <w:r>
              <w:rPr>
                <w:rFonts w:hAnsi="宋体"/>
                <w:sz w:val="18"/>
                <w:szCs w:val="18"/>
              </w:rPr>
              <w:t>100</w:t>
            </w:r>
            <w:r>
              <w:rPr>
                <w:rFonts w:hint="eastAsia" w:ascii="MS Mincho" w:hAnsi="MS Mincho" w:eastAsia="MS Mincho" w:cs="MS Mincho"/>
                <w:sz w:val="18"/>
                <w:szCs w:val="18"/>
              </w:rPr>
              <w:t> </w:t>
            </w:r>
            <w:r>
              <w:rPr>
                <w:rFonts w:hAnsi="宋体"/>
                <w:sz w:val="18"/>
                <w:szCs w:val="18"/>
              </w:rPr>
              <w:t>kHz，3</w:t>
            </w:r>
            <w:r>
              <w:rPr>
                <w:rFonts w:hint="eastAsia" w:ascii="MS Mincho" w:hAnsi="MS Mincho" w:eastAsia="MS Mincho" w:cs="MS Mincho"/>
                <w:sz w:val="18"/>
                <w:szCs w:val="18"/>
              </w:rPr>
              <w:t> </w:t>
            </w:r>
            <w:r>
              <w:rPr>
                <w:rFonts w:hAnsi="宋体"/>
                <w:sz w:val="18"/>
                <w:szCs w:val="18"/>
              </w:rPr>
              <w:t>dB</w:t>
            </w:r>
          </w:p>
          <w:p>
            <w:pPr>
              <w:pStyle w:val="57"/>
              <w:ind w:firstLine="0" w:firstLineChars="0"/>
              <w:jc w:val="center"/>
              <w:rPr>
                <w:rFonts w:hAnsi="宋体"/>
                <w:sz w:val="18"/>
                <w:szCs w:val="18"/>
              </w:rPr>
            </w:pPr>
            <w:r>
              <w:rPr>
                <w:rFonts w:hAnsi="宋体"/>
                <w:sz w:val="18"/>
                <w:szCs w:val="18"/>
              </w:rPr>
              <w:t>100</w:t>
            </w:r>
            <w:r>
              <w:rPr>
                <w:rFonts w:hint="eastAsia" w:ascii="MS Mincho" w:hAnsi="MS Mincho" w:eastAsia="MS Mincho" w:cs="MS Mincho"/>
                <w:sz w:val="18"/>
                <w:szCs w:val="18"/>
              </w:rPr>
              <w:t> </w:t>
            </w:r>
            <w:r>
              <w:rPr>
                <w:rFonts w:hAnsi="宋体"/>
                <w:sz w:val="18"/>
                <w:szCs w:val="18"/>
              </w:rPr>
              <w:t>kHz～500</w:t>
            </w:r>
            <w:r>
              <w:rPr>
                <w:rFonts w:hint="eastAsia" w:ascii="MS Mincho" w:hAnsi="MS Mincho" w:eastAsia="MS Mincho" w:cs="MS Mincho"/>
                <w:sz w:val="18"/>
                <w:szCs w:val="18"/>
              </w:rPr>
              <w:t> </w:t>
            </w:r>
            <w:r>
              <w:rPr>
                <w:rFonts w:hAnsi="宋体"/>
                <w:sz w:val="18"/>
                <w:szCs w:val="18"/>
              </w:rPr>
              <w:t>kHz，2.5</w:t>
            </w:r>
            <w:r>
              <w:rPr>
                <w:rFonts w:hint="eastAsia" w:ascii="MS Mincho" w:hAnsi="MS Mincho" w:eastAsia="MS Mincho" w:cs="MS Mincho"/>
                <w:sz w:val="18"/>
                <w:szCs w:val="18"/>
              </w:rPr>
              <w:t> </w:t>
            </w:r>
            <w:r>
              <w:rPr>
                <w:rFonts w:hAnsi="宋体"/>
                <w:sz w:val="18"/>
                <w:szCs w:val="18"/>
              </w:rPr>
              <w:t>dB</w:t>
            </w:r>
          </w:p>
          <w:p>
            <w:pPr>
              <w:pStyle w:val="57"/>
              <w:ind w:firstLine="0" w:firstLineChars="0"/>
              <w:jc w:val="center"/>
              <w:rPr>
                <w:rFonts w:hAnsi="宋体"/>
                <w:sz w:val="18"/>
                <w:szCs w:val="18"/>
              </w:rPr>
            </w:pPr>
            <w:r>
              <w:rPr>
                <w:rFonts w:hAnsi="宋体"/>
                <w:sz w:val="18"/>
                <w:szCs w:val="18"/>
              </w:rPr>
              <w:t>500</w:t>
            </w:r>
            <w:r>
              <w:rPr>
                <w:rFonts w:hint="eastAsia" w:ascii="MS Mincho" w:hAnsi="MS Mincho" w:eastAsia="MS Mincho" w:cs="MS Mincho"/>
                <w:sz w:val="18"/>
                <w:szCs w:val="18"/>
              </w:rPr>
              <w:t> </w:t>
            </w:r>
            <w:r>
              <w:rPr>
                <w:rFonts w:hAnsi="宋体"/>
                <w:sz w:val="18"/>
                <w:szCs w:val="18"/>
              </w:rPr>
              <w:t>kHz～30</w:t>
            </w:r>
            <w:r>
              <w:rPr>
                <w:rFonts w:hint="eastAsia" w:ascii="MS Mincho" w:hAnsi="MS Mincho" w:eastAsia="MS Mincho" w:cs="MS Mincho"/>
                <w:sz w:val="18"/>
                <w:szCs w:val="18"/>
              </w:rPr>
              <w:t> </w:t>
            </w:r>
            <w:r>
              <w:rPr>
                <w:rFonts w:hAnsi="宋体"/>
                <w:sz w:val="18"/>
                <w:szCs w:val="18"/>
              </w:rPr>
              <w:t>MHz，1.5</w:t>
            </w:r>
            <w:r>
              <w:rPr>
                <w:rFonts w:hint="eastAsia" w:ascii="MS Mincho" w:hAnsi="MS Mincho" w:eastAsia="MS Mincho" w:cs="MS Mincho"/>
                <w:sz w:val="18"/>
                <w:szCs w:val="18"/>
              </w:rPr>
              <w:t> </w:t>
            </w:r>
            <w:r>
              <w:rPr>
                <w:rFonts w:hAnsi="宋体"/>
                <w:sz w:val="18"/>
                <w:szCs w:val="18"/>
              </w:rPr>
              <w:t>dB</w:t>
            </w:r>
          </w:p>
          <w:p>
            <w:pPr>
              <w:pStyle w:val="57"/>
              <w:ind w:firstLine="0" w:firstLineChars="0"/>
              <w:jc w:val="center"/>
              <w:rPr>
                <w:rFonts w:hAnsi="宋体"/>
                <w:sz w:val="18"/>
                <w:szCs w:val="18"/>
              </w:rPr>
            </w:pPr>
            <w:r>
              <w:rPr>
                <w:rFonts w:hAnsi="宋体"/>
                <w:sz w:val="18"/>
                <w:szCs w:val="18"/>
              </w:rPr>
              <w:t>30</w:t>
            </w:r>
            <w:r>
              <w:rPr>
                <w:rFonts w:hint="eastAsia" w:ascii="MS Mincho" w:hAnsi="MS Mincho" w:eastAsia="MS Mincho" w:cs="MS Mincho"/>
                <w:sz w:val="18"/>
                <w:szCs w:val="18"/>
              </w:rPr>
              <w:t> </w:t>
            </w:r>
            <w:r>
              <w:rPr>
                <w:rFonts w:hAnsi="宋体"/>
                <w:sz w:val="18"/>
                <w:szCs w:val="18"/>
              </w:rPr>
              <w:t>MHz～900</w:t>
            </w:r>
            <w:r>
              <w:rPr>
                <w:rFonts w:hint="eastAsia" w:ascii="MS Mincho" w:hAnsi="MS Mincho" w:eastAsia="MS Mincho" w:cs="MS Mincho"/>
                <w:sz w:val="18"/>
                <w:szCs w:val="18"/>
              </w:rPr>
              <w:t> </w:t>
            </w:r>
            <w:r>
              <w:rPr>
                <w:rFonts w:hAnsi="宋体"/>
                <w:sz w:val="18"/>
                <w:szCs w:val="18"/>
              </w:rPr>
              <w:t>MHz，1.5</w:t>
            </w:r>
            <w:r>
              <w:rPr>
                <w:rFonts w:hint="eastAsia" w:ascii="MS Mincho" w:hAnsi="MS Mincho" w:eastAsia="MS Mincho" w:cs="MS Mincho"/>
                <w:sz w:val="18"/>
                <w:szCs w:val="18"/>
              </w:rPr>
              <w:t> </w:t>
            </w:r>
            <w:r>
              <w:rPr>
                <w:rFonts w:hAnsi="宋体"/>
                <w:sz w:val="18"/>
                <w:szCs w:val="18"/>
              </w:rPr>
              <w:t>dB</w:t>
            </w:r>
          </w:p>
          <w:p>
            <w:pPr>
              <w:pStyle w:val="57"/>
              <w:ind w:firstLine="0" w:firstLineChars="0"/>
              <w:jc w:val="center"/>
              <w:rPr>
                <w:rFonts w:hAnsi="宋体"/>
                <w:sz w:val="18"/>
                <w:szCs w:val="18"/>
              </w:rPr>
            </w:pPr>
            <w:r>
              <w:rPr>
                <w:rFonts w:hAnsi="宋体"/>
                <w:sz w:val="18"/>
                <w:szCs w:val="18"/>
              </w:rPr>
              <w:t>900</w:t>
            </w:r>
            <w:r>
              <w:rPr>
                <w:rFonts w:hint="eastAsia" w:ascii="MS Mincho" w:hAnsi="MS Mincho" w:eastAsia="MS Mincho" w:cs="MS Mincho"/>
                <w:sz w:val="18"/>
                <w:szCs w:val="18"/>
              </w:rPr>
              <w:t> </w:t>
            </w:r>
            <w:r>
              <w:rPr>
                <w:rFonts w:hAnsi="宋体"/>
                <w:sz w:val="18"/>
                <w:szCs w:val="18"/>
              </w:rPr>
              <w:t>MHz～3</w:t>
            </w:r>
            <w:r>
              <w:rPr>
                <w:rFonts w:hint="eastAsia" w:ascii="MS Mincho" w:hAnsi="MS Mincho" w:eastAsia="MS Mincho" w:cs="MS Mincho"/>
                <w:sz w:val="18"/>
                <w:szCs w:val="18"/>
              </w:rPr>
              <w:t> </w:t>
            </w:r>
            <w:r>
              <w:rPr>
                <w:rFonts w:hAnsi="宋体"/>
                <w:sz w:val="18"/>
                <w:szCs w:val="18"/>
              </w:rPr>
              <w:t>GHz，1</w:t>
            </w:r>
            <w:r>
              <w:rPr>
                <w:rFonts w:hint="eastAsia" w:ascii="MS Mincho" w:hAnsi="MS Mincho" w:eastAsia="MS Mincho" w:cs="MS Mincho"/>
                <w:sz w:val="18"/>
                <w:szCs w:val="18"/>
              </w:rPr>
              <w:t> </w:t>
            </w:r>
            <w:r>
              <w:rPr>
                <w:rFonts w:hAnsi="宋体"/>
                <w:sz w:val="18"/>
                <w:szCs w:val="18"/>
              </w:rPr>
              <w:t>dB</w:t>
            </w:r>
          </w:p>
          <w:p>
            <w:pPr>
              <w:pStyle w:val="57"/>
              <w:ind w:firstLine="0" w:firstLineChars="0"/>
              <w:jc w:val="center"/>
              <w:rPr>
                <w:rFonts w:hAnsi="宋体"/>
                <w:sz w:val="18"/>
                <w:szCs w:val="18"/>
              </w:rPr>
            </w:pPr>
            <w:r>
              <w:rPr>
                <w:rFonts w:hAnsi="宋体"/>
                <w:sz w:val="18"/>
                <w:szCs w:val="18"/>
              </w:rPr>
              <w:t>3</w:t>
            </w:r>
            <w:r>
              <w:rPr>
                <w:rFonts w:hint="eastAsia" w:ascii="MS Mincho" w:hAnsi="MS Mincho" w:eastAsia="MS Mincho" w:cs="MS Mincho"/>
                <w:sz w:val="18"/>
                <w:szCs w:val="18"/>
              </w:rPr>
              <w:t> </w:t>
            </w:r>
            <w:r>
              <w:rPr>
                <w:rFonts w:hAnsi="宋体"/>
                <w:sz w:val="18"/>
                <w:szCs w:val="18"/>
              </w:rPr>
              <w:t>GHz～6</w:t>
            </w:r>
            <w:r>
              <w:rPr>
                <w:rFonts w:hint="eastAsia" w:ascii="MS Mincho" w:hAnsi="MS Mincho" w:eastAsia="MS Mincho" w:cs="MS Mincho"/>
                <w:sz w:val="18"/>
                <w:szCs w:val="18"/>
              </w:rPr>
              <w:t> </w:t>
            </w:r>
            <w:r>
              <w:rPr>
                <w:rFonts w:hAnsi="宋体"/>
                <w:sz w:val="18"/>
                <w:szCs w:val="18"/>
              </w:rPr>
              <w:t>GHz，2.5</w:t>
            </w:r>
            <w:r>
              <w:rPr>
                <w:rFonts w:hint="eastAsia" w:ascii="MS Mincho" w:hAnsi="MS Mincho" w:eastAsia="MS Mincho" w:cs="MS Mincho"/>
                <w:sz w:val="18"/>
                <w:szCs w:val="18"/>
              </w:rPr>
              <w:t> </w:t>
            </w:r>
            <w:r>
              <w:rPr>
                <w:rFonts w:hAnsi="宋体"/>
                <w:sz w:val="18"/>
                <w:szCs w:val="18"/>
              </w:rPr>
              <w:t>dB</w:t>
            </w:r>
          </w:p>
          <w:p>
            <w:pPr>
              <w:pStyle w:val="57"/>
              <w:ind w:firstLine="0" w:firstLineChars="0"/>
              <w:jc w:val="center"/>
              <w:rPr>
                <w:rFonts w:hAnsi="宋体"/>
                <w:sz w:val="18"/>
                <w:szCs w:val="18"/>
              </w:rPr>
            </w:pPr>
            <w:r>
              <w:rPr>
                <w:rFonts w:hAnsi="宋体"/>
                <w:color w:val="000000"/>
                <w:sz w:val="18"/>
                <w:szCs w:val="18"/>
              </w:rPr>
              <w:t>6</w:t>
            </w:r>
            <w:r>
              <w:rPr>
                <w:rFonts w:hint="eastAsia" w:ascii="MS Mincho" w:hAnsi="MS Mincho" w:eastAsia="MS Mincho" w:cs="MS Mincho"/>
                <w:sz w:val="18"/>
                <w:szCs w:val="18"/>
              </w:rPr>
              <w:t> </w:t>
            </w:r>
            <w:r>
              <w:rPr>
                <w:rFonts w:hAnsi="宋体"/>
                <w:color w:val="000000"/>
                <w:sz w:val="18"/>
                <w:szCs w:val="18"/>
              </w:rPr>
              <w:t>GHz，3</w:t>
            </w:r>
            <w:r>
              <w:rPr>
                <w:rFonts w:hint="eastAsia" w:ascii="MS Mincho" w:hAnsi="MS Mincho" w:eastAsia="MS Mincho" w:cs="MS Mincho"/>
                <w:sz w:val="18"/>
                <w:szCs w:val="18"/>
              </w:rPr>
              <w:t> </w:t>
            </w:r>
            <w:r>
              <w:rPr>
                <w:rFonts w:hAnsi="宋体"/>
                <w:color w:val="000000"/>
                <w:sz w:val="18"/>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线性度</w:t>
            </w:r>
          </w:p>
        </w:tc>
        <w:tc>
          <w:tcPr>
            <w:tcW w:w="4667" w:type="dxa"/>
            <w:shd w:val="clear" w:color="auto" w:fill="auto"/>
            <w:vAlign w:val="center"/>
          </w:tcPr>
          <w:p>
            <w:pPr>
              <w:pStyle w:val="179"/>
              <w:rPr>
                <w:rFonts w:hAnsi="宋体"/>
                <w:szCs w:val="18"/>
              </w:rPr>
            </w:pPr>
            <w:r>
              <w:rPr>
                <w:rFonts w:hAnsi="宋体"/>
                <w:szCs w:val="18"/>
              </w:rPr>
              <w:t>≤1.5</w:t>
            </w:r>
            <w:r>
              <w:rPr>
                <w:rFonts w:hint="eastAsia" w:ascii="MS Mincho" w:hAnsi="MS Mincho" w:eastAsia="MS Mincho" w:cs="MS Mincho"/>
                <w:szCs w:val="18"/>
              </w:rPr>
              <w:t> </w:t>
            </w:r>
            <w:r>
              <w:rPr>
                <w:rFonts w:hAnsi="宋体"/>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各向同性</w:t>
            </w:r>
          </w:p>
        </w:tc>
        <w:tc>
          <w:tcPr>
            <w:tcW w:w="4667" w:type="dxa"/>
            <w:shd w:val="clear" w:color="auto" w:fill="auto"/>
            <w:vAlign w:val="center"/>
          </w:tcPr>
          <w:p>
            <w:pPr>
              <w:pStyle w:val="235"/>
            </w:pPr>
            <w:r>
              <w:t>100</w:t>
            </w:r>
            <w:r>
              <w:rPr>
                <w:rFonts w:hint="eastAsia" w:ascii="MS Mincho" w:hAnsi="MS Mincho" w:eastAsia="MS Mincho" w:cs="MS Mincho"/>
              </w:rPr>
              <w:t> </w:t>
            </w:r>
            <w:r>
              <w:t>kHz～3</w:t>
            </w:r>
            <w:r>
              <w:rPr>
                <w:rFonts w:hint="eastAsia" w:ascii="MS Mincho" w:hAnsi="MS Mincho" w:eastAsia="MS Mincho" w:cs="MS Mincho"/>
              </w:rPr>
              <w:t> </w:t>
            </w:r>
            <w:r>
              <w:t>GHz，1</w:t>
            </w:r>
            <w:r>
              <w:rPr>
                <w:rFonts w:hint="eastAsia" w:ascii="MS Mincho" w:hAnsi="MS Mincho" w:eastAsia="MS Mincho" w:cs="MS Mincho"/>
              </w:rPr>
              <w:t> </w:t>
            </w:r>
            <w:r>
              <w:t>dB</w:t>
            </w:r>
          </w:p>
          <w:p>
            <w:pPr>
              <w:pStyle w:val="179"/>
              <w:rPr>
                <w:rFonts w:hAnsi="宋体"/>
                <w:szCs w:val="18"/>
              </w:rPr>
            </w:pPr>
            <w:r>
              <w:rPr>
                <w:rFonts w:hAnsi="宋体"/>
                <w:szCs w:val="18"/>
              </w:rPr>
              <w:t>3</w:t>
            </w:r>
            <w:r>
              <w:rPr>
                <w:rFonts w:hint="eastAsia" w:ascii="MS Mincho" w:hAnsi="MS Mincho" w:eastAsia="MS Mincho" w:cs="MS Mincho"/>
                <w:szCs w:val="18"/>
              </w:rPr>
              <w:t> </w:t>
            </w:r>
            <w:r>
              <w:rPr>
                <w:rFonts w:hAnsi="宋体"/>
                <w:szCs w:val="18"/>
              </w:rPr>
              <w:t>GHz～6</w:t>
            </w:r>
            <w:r>
              <w:rPr>
                <w:rFonts w:hint="eastAsia" w:ascii="MS Mincho" w:hAnsi="MS Mincho" w:eastAsia="MS Mincho" w:cs="MS Mincho"/>
                <w:szCs w:val="18"/>
              </w:rPr>
              <w:t> </w:t>
            </w:r>
            <w:r>
              <w:rPr>
                <w:rFonts w:hAnsi="宋体"/>
                <w:szCs w:val="18"/>
              </w:rPr>
              <w:t>GHz，2</w:t>
            </w:r>
            <w:r>
              <w:rPr>
                <w:rFonts w:hint="eastAsia" w:ascii="MS Mincho" w:hAnsi="MS Mincho" w:eastAsia="MS Mincho" w:cs="MS Mincho"/>
                <w:szCs w:val="18"/>
              </w:rPr>
              <w:t> </w:t>
            </w:r>
            <w:r>
              <w:rPr>
                <w:rFonts w:hAnsi="宋体"/>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动态范围</w:t>
            </w:r>
          </w:p>
        </w:tc>
        <w:tc>
          <w:tcPr>
            <w:tcW w:w="4667" w:type="dxa"/>
            <w:shd w:val="clear" w:color="auto" w:fill="auto"/>
            <w:vAlign w:val="center"/>
          </w:tcPr>
          <w:p>
            <w:pPr>
              <w:pStyle w:val="179"/>
              <w:rPr>
                <w:rFonts w:hAnsi="宋体"/>
                <w:szCs w:val="18"/>
              </w:rPr>
            </w:pPr>
            <w:r>
              <w:rPr>
                <w:rFonts w:hAnsi="宋体"/>
                <w:szCs w:val="18"/>
              </w:rPr>
              <w:t>≥60</w:t>
            </w:r>
            <w:r>
              <w:rPr>
                <w:rFonts w:hint="eastAsia" w:ascii="MS Mincho" w:hAnsi="MS Mincho" w:eastAsia="MS Mincho" w:cs="MS Mincho"/>
                <w:szCs w:val="18"/>
              </w:rPr>
              <w:t> </w:t>
            </w:r>
            <w:r>
              <w:rPr>
                <w:rFonts w:hAnsi="宋体"/>
                <w:szCs w:val="18"/>
              </w:rPr>
              <w:t>dB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int="eastAsia" w:hAnsi="宋体"/>
                <w:szCs w:val="18"/>
              </w:rPr>
              <w:t>测量</w:t>
            </w:r>
            <w:r>
              <w:rPr>
                <w:rFonts w:hAnsi="宋体"/>
                <w:szCs w:val="18"/>
              </w:rPr>
              <w:t>探头检出限</w:t>
            </w:r>
          </w:p>
        </w:tc>
        <w:tc>
          <w:tcPr>
            <w:tcW w:w="4667" w:type="dxa"/>
            <w:shd w:val="clear" w:color="auto" w:fill="auto"/>
            <w:vAlign w:val="center"/>
          </w:tcPr>
          <w:p>
            <w:pPr>
              <w:pStyle w:val="179"/>
              <w:rPr>
                <w:rFonts w:hAnsi="宋体"/>
                <w:szCs w:val="18"/>
              </w:rPr>
            </w:pPr>
            <w:r>
              <w:rPr>
                <w:rFonts w:hAnsi="宋体"/>
                <w:szCs w:val="18"/>
              </w:rPr>
              <w:t>≤0.05</w:t>
            </w:r>
            <w:r>
              <w:rPr>
                <w:rFonts w:hint="eastAsia" w:ascii="MS Mincho" w:hAnsi="MS Mincho" w:eastAsia="MS Mincho" w:cs="MS Mincho"/>
                <w:szCs w:val="18"/>
              </w:rPr>
              <w:t> </w:t>
            </w:r>
            <w:r>
              <w:rPr>
                <w:rFonts w:hAnsi="宋体"/>
                <w:szCs w:val="18"/>
              </w:rPr>
              <w:t>V/m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采样模式</w:t>
            </w:r>
          </w:p>
        </w:tc>
        <w:tc>
          <w:tcPr>
            <w:tcW w:w="4667" w:type="dxa"/>
            <w:shd w:val="clear" w:color="auto" w:fill="auto"/>
            <w:vAlign w:val="center"/>
          </w:tcPr>
          <w:p>
            <w:pPr>
              <w:pStyle w:val="179"/>
              <w:rPr>
                <w:rFonts w:hAnsi="宋体"/>
                <w:szCs w:val="18"/>
              </w:rPr>
            </w:pPr>
            <w:r>
              <w:rPr>
                <w:rFonts w:hAnsi="宋体"/>
                <w:color w:val="000000"/>
                <w:szCs w:val="18"/>
              </w:rPr>
              <w:t>时域采样或</w:t>
            </w:r>
            <w:r>
              <w:rPr>
                <w:rFonts w:hAnsi="宋体"/>
                <w:szCs w:val="18"/>
              </w:rPr>
              <w:t>零中频采样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9"/>
              <w:rPr>
                <w:rFonts w:hAnsi="宋体"/>
                <w:szCs w:val="18"/>
              </w:rPr>
            </w:pPr>
            <w:r>
              <w:rPr>
                <w:rFonts w:hAnsi="宋体"/>
                <w:szCs w:val="18"/>
              </w:rPr>
              <w:t>采样最小时间间隔</w:t>
            </w:r>
          </w:p>
        </w:tc>
        <w:tc>
          <w:tcPr>
            <w:tcW w:w="4667" w:type="dxa"/>
            <w:shd w:val="clear" w:color="auto" w:fill="auto"/>
            <w:vAlign w:val="center"/>
          </w:tcPr>
          <w:p>
            <w:pPr>
              <w:pStyle w:val="179"/>
              <w:rPr>
                <w:rFonts w:hAnsi="宋体"/>
                <w:szCs w:val="18"/>
              </w:rPr>
            </w:pPr>
            <w:r>
              <w:rPr>
                <w:rFonts w:hAnsi="宋体"/>
                <w:szCs w:val="18"/>
              </w:rPr>
              <w:t>优于</w:t>
            </w:r>
            <w:r>
              <w:rPr>
                <w:rFonts w:hint="eastAsia" w:ascii="MS Mincho" w:hAnsi="MS Mincho" w:eastAsia="MS Mincho" w:cs="MS Mincho"/>
                <w:szCs w:val="18"/>
              </w:rPr>
              <w:t> </w:t>
            </w:r>
            <w:r>
              <w:rPr>
                <w:rFonts w:hAnsi="宋体"/>
                <w:szCs w:val="18"/>
              </w:rPr>
              <w:t>32</w:t>
            </w:r>
            <w:r>
              <w:rPr>
                <w:rFonts w:hint="eastAsia" w:ascii="MS Mincho" w:hAnsi="MS Mincho" w:eastAsia="MS Mincho" w:cs="MS Mincho"/>
                <w:szCs w:val="18"/>
              </w:rPr>
              <w:t> </w:t>
            </w:r>
            <w:r>
              <w:rPr>
                <w:rFonts w:hAnsi="宋体"/>
                <w:szCs w:val="18"/>
              </w:rPr>
              <w:t>ns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bottom w:val="single" w:color="auto" w:sz="8" w:space="0"/>
            </w:tcBorders>
            <w:shd w:val="clear" w:color="auto" w:fill="auto"/>
            <w:vAlign w:val="center"/>
          </w:tcPr>
          <w:p>
            <w:pPr>
              <w:pStyle w:val="179"/>
              <w:rPr>
                <w:rFonts w:hAnsi="宋体"/>
                <w:szCs w:val="18"/>
              </w:rPr>
            </w:pPr>
            <w:r>
              <w:rPr>
                <w:rFonts w:hAnsi="宋体"/>
                <w:szCs w:val="18"/>
              </w:rPr>
              <w:t>结果显示</w:t>
            </w:r>
          </w:p>
        </w:tc>
        <w:tc>
          <w:tcPr>
            <w:tcW w:w="4667" w:type="dxa"/>
            <w:tcBorders>
              <w:bottom w:val="single" w:color="auto" w:sz="8" w:space="0"/>
            </w:tcBorders>
            <w:shd w:val="clear" w:color="auto" w:fill="auto"/>
            <w:vAlign w:val="center"/>
          </w:tcPr>
          <w:p>
            <w:pPr>
              <w:pStyle w:val="179"/>
              <w:rPr>
                <w:rFonts w:hAnsi="宋体"/>
                <w:szCs w:val="18"/>
              </w:rPr>
            </w:pPr>
            <w:r>
              <w:rPr>
                <w:rFonts w:hAnsi="宋体"/>
                <w:szCs w:val="18"/>
              </w:rPr>
              <w:t>瞬时峰值和</w:t>
            </w:r>
            <w:r>
              <w:rPr>
                <w:rFonts w:hint="eastAsia" w:ascii="MS Mincho" w:hAnsi="MS Mincho" w:eastAsia="MS Mincho" w:cs="MS Mincho"/>
                <w:szCs w:val="18"/>
              </w:rPr>
              <w:t> </w:t>
            </w:r>
            <w:r>
              <w:rPr>
                <w:rFonts w:hAnsi="宋体"/>
                <w:szCs w:val="18"/>
              </w:rPr>
              <w:t>6</w:t>
            </w:r>
            <w:r>
              <w:rPr>
                <w:rFonts w:hint="eastAsia" w:ascii="MS Mincho" w:hAnsi="MS Mincho" w:eastAsia="MS Mincho" w:cs="MS Mincho"/>
                <w:szCs w:val="18"/>
              </w:rPr>
              <w:t> </w:t>
            </w:r>
            <w:r>
              <w:rPr>
                <w:rFonts w:hAnsi="宋体"/>
                <w:szCs w:val="18"/>
              </w:rPr>
              <w:t>分钟方均根值的平均值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tcBorders>
              <w:top w:val="single" w:color="auto" w:sz="8" w:space="0"/>
              <w:bottom w:val="single" w:color="auto" w:sz="8" w:space="0"/>
            </w:tcBorders>
            <w:shd w:val="clear" w:color="auto" w:fill="auto"/>
            <w:vAlign w:val="center"/>
          </w:tcPr>
          <w:p>
            <w:pPr>
              <w:pStyle w:val="180"/>
              <w:rPr>
                <w:rFonts w:hAnsi="宋体"/>
              </w:rPr>
            </w:pPr>
            <w:r>
              <w:rPr>
                <w:rFonts w:hint="eastAsia" w:hAnsi="宋体"/>
              </w:rPr>
              <w:t>表中频率区间的频率下限不包含该频率点。</w:t>
            </w:r>
          </w:p>
        </w:tc>
      </w:tr>
    </w:tbl>
    <w:p>
      <w:pPr>
        <w:pStyle w:val="66"/>
        <w:spacing w:before="120" w:after="120"/>
        <w:rPr>
          <w:rFonts w:ascii="Times New Roman"/>
        </w:rPr>
      </w:pPr>
      <w:r>
        <w:rPr>
          <w:rFonts w:ascii="Times New Roman"/>
        </w:rPr>
        <w:t>电磁兼容性能要求</w:t>
      </w:r>
    </w:p>
    <w:p>
      <w:pPr>
        <w:pStyle w:val="57"/>
        <w:ind w:firstLine="420"/>
      </w:pPr>
      <w:r>
        <w:rPr>
          <w:rFonts w:hint="eastAsia"/>
        </w:rPr>
        <w:t>监测设备的电磁兼容性应满足以下要求：</w:t>
      </w:r>
    </w:p>
    <w:p>
      <w:pPr>
        <w:pStyle w:val="175"/>
      </w:pPr>
      <w:r>
        <w:t>工频磁场：在工频高压设施附近使用的监测设备，</w:t>
      </w:r>
      <w:r>
        <w:rPr>
          <w:rFonts w:hint="eastAsia"/>
        </w:rPr>
        <w:t>应</w:t>
      </w:r>
      <w:r>
        <w:t>符合 GB/T 17626.8 试验等级 3 级；</w:t>
      </w:r>
    </w:p>
    <w:p>
      <w:pPr>
        <w:pStyle w:val="175"/>
      </w:pPr>
      <w:r>
        <w:t>射频电磁场：</w:t>
      </w:r>
      <w:r>
        <w:rPr>
          <w:rFonts w:hint="eastAsia"/>
        </w:rPr>
        <w:t>应</w:t>
      </w:r>
      <w:r>
        <w:t>符合 GB</w:t>
      </w:r>
      <w:r>
        <w:rPr>
          <w:rFonts w:hint="eastAsia"/>
        </w:rPr>
        <w:t>/</w:t>
      </w:r>
      <w:r>
        <w:t>T</w:t>
      </w:r>
      <w:r>
        <w:rPr>
          <w:rFonts w:hint="eastAsia"/>
        </w:rPr>
        <w:t xml:space="preserve"> </w:t>
      </w:r>
      <w:r>
        <w:t>17626.6 试验等级 3 级和 GB</w:t>
      </w:r>
      <w:r>
        <w:rPr>
          <w:rFonts w:hint="eastAsia"/>
        </w:rPr>
        <w:t>/</w:t>
      </w:r>
      <w:r>
        <w:t>T</w:t>
      </w:r>
      <w:r>
        <w:rPr>
          <w:rFonts w:hint="eastAsia"/>
        </w:rPr>
        <w:t xml:space="preserve"> </w:t>
      </w:r>
      <w:r>
        <w:t xml:space="preserve">17626.3 试验等级 4 级； </w:t>
      </w:r>
    </w:p>
    <w:p>
      <w:pPr>
        <w:pStyle w:val="175"/>
      </w:pPr>
      <w:r>
        <w:t>浪涌冲击：</w:t>
      </w:r>
      <w:r>
        <w:rPr>
          <w:rFonts w:hint="eastAsia"/>
        </w:rPr>
        <w:t>应</w:t>
      </w:r>
      <w:r>
        <w:t>符合 GB/T 17626.5 试验等级 3 级</w:t>
      </w:r>
      <w:r>
        <w:rPr>
          <w:rFonts w:hint="eastAsia"/>
        </w:rPr>
        <w:t>；</w:t>
      </w:r>
    </w:p>
    <w:p>
      <w:pPr>
        <w:pStyle w:val="175"/>
      </w:pPr>
      <w:r>
        <w:t>电快速瞬变：</w:t>
      </w:r>
      <w:r>
        <w:rPr>
          <w:rFonts w:hint="eastAsia"/>
        </w:rPr>
        <w:t>应</w:t>
      </w:r>
      <w:r>
        <w:t>符合 GB</w:t>
      </w:r>
      <w:r>
        <w:rPr>
          <w:rFonts w:hint="eastAsia"/>
        </w:rPr>
        <w:t>/</w:t>
      </w:r>
      <w:r>
        <w:t>T</w:t>
      </w:r>
      <w:r>
        <w:rPr>
          <w:rFonts w:hint="eastAsia"/>
        </w:rPr>
        <w:t xml:space="preserve"> </w:t>
      </w:r>
      <w:r>
        <w:t>17626.4 试验等级 3 级；</w:t>
      </w:r>
    </w:p>
    <w:p>
      <w:pPr>
        <w:pStyle w:val="175"/>
      </w:pPr>
      <w:r>
        <w:t>静电放电：</w:t>
      </w:r>
      <w:r>
        <w:rPr>
          <w:rFonts w:hint="eastAsia"/>
        </w:rPr>
        <w:t>应</w:t>
      </w:r>
      <w:r>
        <w:t>符合 GB</w:t>
      </w:r>
      <w:r>
        <w:rPr>
          <w:rFonts w:hint="eastAsia"/>
        </w:rPr>
        <w:t>/</w:t>
      </w:r>
      <w:r>
        <w:t>T</w:t>
      </w:r>
      <w:r>
        <w:rPr>
          <w:rFonts w:hint="eastAsia"/>
        </w:rPr>
        <w:t xml:space="preserve"> </w:t>
      </w:r>
      <w:r>
        <w:t>17626.2 试验等级 3 级。</w:t>
      </w:r>
    </w:p>
    <w:p>
      <w:pPr>
        <w:pStyle w:val="106"/>
        <w:spacing w:before="120" w:after="120"/>
      </w:pPr>
      <w:bookmarkStart w:id="77" w:name="_Toc165908044"/>
      <w:bookmarkStart w:id="78" w:name="_Toc160539389"/>
      <w:bookmarkStart w:id="79" w:name="_Toc7294"/>
      <w:bookmarkStart w:id="80" w:name="_Toc160539363"/>
      <w:r>
        <w:t>电源系统</w:t>
      </w:r>
      <w:bookmarkEnd w:id="77"/>
    </w:p>
    <w:p>
      <w:pPr>
        <w:pStyle w:val="57"/>
        <w:ind w:firstLine="420"/>
      </w:pPr>
      <w:r>
        <w:rPr>
          <w:rFonts w:hint="eastAsia"/>
        </w:rPr>
        <w:t>电源系统</w:t>
      </w:r>
      <w:r>
        <w:t>应具备市电和太阳能两种供电方式，</w:t>
      </w:r>
      <w:r>
        <w:rPr>
          <w:rFonts w:hint="eastAsia"/>
        </w:rPr>
        <w:t>并</w:t>
      </w:r>
      <w:r>
        <w:t>配备不间断电源系统（UPS），确保市电断开</w:t>
      </w:r>
      <w:r>
        <w:rPr>
          <w:rFonts w:hint="eastAsia"/>
        </w:rPr>
        <w:t>后</w:t>
      </w:r>
      <w:r>
        <w:t>可连续运行不小于 7 天。</w:t>
      </w:r>
    </w:p>
    <w:p>
      <w:pPr>
        <w:pStyle w:val="106"/>
        <w:spacing w:before="120" w:after="120"/>
        <w:rPr>
          <w:szCs w:val="21"/>
        </w:rPr>
      </w:pPr>
      <w:bookmarkStart w:id="81" w:name="_Toc165908045"/>
      <w:r>
        <w:t>报警系统及辅助设备</w:t>
      </w:r>
      <w:bookmarkEnd w:id="81"/>
    </w:p>
    <w:p>
      <w:pPr>
        <w:pStyle w:val="66"/>
        <w:spacing w:before="120" w:after="120"/>
      </w:pPr>
      <w:r>
        <w:t>报警系统</w:t>
      </w:r>
    </w:p>
    <w:p>
      <w:pPr>
        <w:pStyle w:val="57"/>
        <w:ind w:firstLine="420"/>
      </w:pPr>
      <w:r>
        <w:t>报警系统</w:t>
      </w:r>
      <w:r>
        <w:rPr>
          <w:rFonts w:hint="eastAsia"/>
        </w:rPr>
        <w:t>应</w:t>
      </w:r>
      <w:r>
        <w:t>包括现场声光报警、平台管理报警、手机端报警</w:t>
      </w:r>
      <w:r>
        <w:rPr>
          <w:rFonts w:hint="eastAsia"/>
        </w:rPr>
        <w:t>等</w:t>
      </w:r>
      <w:r>
        <w:t>。</w:t>
      </w:r>
    </w:p>
    <w:p>
      <w:pPr>
        <w:pStyle w:val="66"/>
        <w:spacing w:before="120" w:after="120"/>
      </w:pPr>
      <w:r>
        <w:t>辅助设备</w:t>
      </w:r>
    </w:p>
    <w:p>
      <w:pPr>
        <w:pStyle w:val="57"/>
        <w:ind w:firstLine="420"/>
      </w:pPr>
      <w:r>
        <w:t>辅助设备</w:t>
      </w:r>
      <w:r>
        <w:rPr>
          <w:rFonts w:hint="eastAsia"/>
        </w:rPr>
        <w:t>应满足以下要求：</w:t>
      </w:r>
    </w:p>
    <w:p>
      <w:pPr>
        <w:pStyle w:val="175"/>
        <w:numPr>
          <w:ilvl w:val="0"/>
          <w:numId w:val="32"/>
        </w:numPr>
      </w:pPr>
      <w:r>
        <w:rPr>
          <w:rFonts w:hint="eastAsia"/>
        </w:rPr>
        <w:t>仪器支架：支架材质应能</w:t>
      </w:r>
      <w:r>
        <w:t>避免监测仪器支架泄漏电流</w:t>
      </w:r>
      <w:r>
        <w:rPr>
          <w:rFonts w:hint="eastAsia"/>
        </w:rPr>
        <w:t>的</w:t>
      </w:r>
      <w:r>
        <w:t>影响</w:t>
      </w:r>
      <w:r>
        <w:rPr>
          <w:rFonts w:hint="eastAsia"/>
        </w:rPr>
        <w:t>。</w:t>
      </w:r>
    </w:p>
    <w:p>
      <w:pPr>
        <w:pStyle w:val="175"/>
      </w:pPr>
      <w:r>
        <w:t>视频监控：不对</w:t>
      </w:r>
      <w:r>
        <w:rPr>
          <w:rFonts w:hint="eastAsia"/>
        </w:rPr>
        <w:t>电磁辐射环境</w:t>
      </w:r>
      <w:r>
        <w:t>监测结果造成影响，视频分辨率优于 325×288 像素，监测视角 360 度。</w:t>
      </w:r>
    </w:p>
    <w:p>
      <w:pPr>
        <w:pStyle w:val="175"/>
      </w:pPr>
      <w:r>
        <w:t>安全防护</w:t>
      </w:r>
      <w:r>
        <w:rPr>
          <w:rFonts w:hint="eastAsia"/>
        </w:rPr>
        <w:t>设施</w:t>
      </w:r>
      <w:r>
        <w:t>：可防护台风不小于 12 级</w:t>
      </w:r>
      <w:r>
        <w:rPr>
          <w:rFonts w:hint="eastAsia"/>
        </w:rPr>
        <w:t>，</w:t>
      </w:r>
      <w:r>
        <w:t>围挡使用非金属不导电材料，不影响太阳能板采光率，</w:t>
      </w:r>
      <w:r>
        <w:rPr>
          <w:rFonts w:hint="eastAsia"/>
        </w:rPr>
        <w:t>能</w:t>
      </w:r>
      <w:r>
        <w:t>防止公众靠近。</w:t>
      </w:r>
    </w:p>
    <w:p>
      <w:pPr>
        <w:pStyle w:val="175"/>
      </w:pPr>
      <w:r>
        <w:t>防雷</w:t>
      </w:r>
      <w:r>
        <w:rPr>
          <w:rFonts w:hint="eastAsia"/>
        </w:rPr>
        <w:t>设备</w:t>
      </w:r>
      <w:r>
        <w:t>：不小于 20 </w:t>
      </w:r>
      <w:r>
        <w:rPr>
          <w:rFonts w:hint="eastAsia"/>
        </w:rPr>
        <w:t>k</w:t>
      </w:r>
      <w:r>
        <w:t>A 防雷浪涌保护器。</w:t>
      </w:r>
    </w:p>
    <w:p>
      <w:pPr>
        <w:pStyle w:val="175"/>
      </w:pPr>
      <w:r>
        <w:t>环境信息屏：可根据需要采用液晶显示屏或 LED 显示屏。</w:t>
      </w:r>
    </w:p>
    <w:p>
      <w:pPr>
        <w:pStyle w:val="175"/>
      </w:pPr>
      <w:r>
        <w:rPr>
          <w:rFonts w:hint="eastAsia"/>
        </w:rPr>
        <w:t>温湿度计</w:t>
      </w:r>
      <w:r>
        <w:t>：可连续自动监测</w:t>
      </w:r>
      <w:r>
        <w:rPr>
          <w:rFonts w:hint="eastAsia"/>
        </w:rPr>
        <w:t>环境</w:t>
      </w:r>
      <w:r>
        <w:t>温度和湿度</w:t>
      </w:r>
      <w:r>
        <w:rPr>
          <w:rFonts w:hint="eastAsia"/>
        </w:rPr>
        <w:t>，与电磁辐射环境</w:t>
      </w:r>
      <w:r>
        <w:t>监测</w:t>
      </w:r>
      <w:r>
        <w:rPr>
          <w:rFonts w:hint="eastAsia"/>
        </w:rPr>
        <w:t>数据同步</w:t>
      </w:r>
      <w:r>
        <w:t>上传；温度范围</w:t>
      </w:r>
      <w:r>
        <w:rPr>
          <w:rFonts w:hint="eastAsia"/>
        </w:rPr>
        <w:t>宜为</w:t>
      </w:r>
      <w:r>
        <w:t>-</w:t>
      </w:r>
      <w:r>
        <w:rPr>
          <w:rFonts w:hint="eastAsia"/>
        </w:rPr>
        <w:t>2</w:t>
      </w:r>
      <w:r>
        <w:t>0 ℃～</w:t>
      </w:r>
      <w:r>
        <w:rPr>
          <w:rFonts w:hint="eastAsia"/>
        </w:rPr>
        <w:t>5</w:t>
      </w:r>
      <w:r>
        <w:t>0 ℃，湿度范围</w:t>
      </w:r>
      <w:r>
        <w:rPr>
          <w:rFonts w:hint="eastAsia"/>
        </w:rPr>
        <w:t>宜为</w:t>
      </w:r>
      <w:r>
        <w:t> 0～100 %（不凝结）。</w:t>
      </w:r>
    </w:p>
    <w:bookmarkEnd w:id="78"/>
    <w:bookmarkEnd w:id="79"/>
    <w:bookmarkEnd w:id="80"/>
    <w:p>
      <w:pPr>
        <w:pStyle w:val="105"/>
        <w:spacing w:before="240" w:after="240"/>
      </w:pPr>
      <w:bookmarkStart w:id="82" w:name="_Toc160539366"/>
      <w:bookmarkStart w:id="83" w:name="_Toc165908046"/>
      <w:bookmarkStart w:id="84" w:name="_Toc15627"/>
      <w:bookmarkStart w:id="85" w:name="_Toc11711"/>
      <w:bookmarkStart w:id="86" w:name="_Toc18770"/>
      <w:bookmarkStart w:id="87" w:name="_Toc160539390"/>
      <w:bookmarkStart w:id="88" w:name="_Toc13690"/>
      <w:r>
        <w:t>数据应用</w:t>
      </w:r>
      <w:bookmarkEnd w:id="82"/>
      <w:bookmarkEnd w:id="83"/>
      <w:bookmarkEnd w:id="84"/>
      <w:bookmarkEnd w:id="85"/>
      <w:bookmarkEnd w:id="86"/>
      <w:bookmarkEnd w:id="87"/>
      <w:bookmarkEnd w:id="88"/>
    </w:p>
    <w:p>
      <w:pPr>
        <w:pStyle w:val="106"/>
        <w:spacing w:before="120" w:after="120"/>
      </w:pPr>
      <w:bookmarkStart w:id="89" w:name="_Toc160539367"/>
      <w:bookmarkStart w:id="90" w:name="_Toc165908047"/>
      <w:r>
        <w:t>数据采集</w:t>
      </w:r>
      <w:bookmarkEnd w:id="89"/>
      <w:bookmarkEnd w:id="90"/>
    </w:p>
    <w:p>
      <w:pPr>
        <w:pStyle w:val="57"/>
        <w:ind w:firstLine="420"/>
      </w:pPr>
      <w:r>
        <w:t>自动监测系统连续自动采集数据，并通过网络设备传输至广东省电磁环境管理平台，监测数据包括但不限于电磁场监测数据、选频监测频谱图。数据采集频率</w:t>
      </w:r>
      <w:r>
        <w:rPr>
          <w:rFonts w:hint="eastAsia"/>
        </w:rPr>
        <w:t>应根据</w:t>
      </w:r>
      <w:r>
        <w:t> 4.</w:t>
      </w:r>
      <w:r>
        <w:rPr>
          <w:rFonts w:hint="eastAsia"/>
        </w:rPr>
        <w:t>4</w:t>
      </w:r>
      <w:r>
        <w:t> </w:t>
      </w:r>
      <w:r>
        <w:rPr>
          <w:rFonts w:hint="eastAsia"/>
        </w:rPr>
        <w:t>设置</w:t>
      </w:r>
      <w:r>
        <w:t>。</w:t>
      </w:r>
    </w:p>
    <w:p>
      <w:pPr>
        <w:pStyle w:val="106"/>
        <w:spacing w:before="120" w:after="120"/>
      </w:pPr>
      <w:bookmarkStart w:id="91" w:name="_Toc165908048"/>
      <w:bookmarkStart w:id="92" w:name="_Toc160539368"/>
      <w:r>
        <w:t>数据处理</w:t>
      </w:r>
      <w:bookmarkEnd w:id="91"/>
      <w:bookmarkEnd w:id="92"/>
    </w:p>
    <w:p>
      <w:pPr>
        <w:pStyle w:val="57"/>
        <w:ind w:firstLine="420"/>
      </w:pPr>
      <w:r>
        <w:t>监测数据应采用算术平均的方法进行数据处理，将连续 6 分钟监测的数据进行算术平均</w:t>
      </w:r>
      <w:r>
        <w:rPr>
          <w:rFonts w:hint="eastAsia"/>
        </w:rPr>
        <w:t>；</w:t>
      </w:r>
      <w:r>
        <w:t>脉冲电磁波的瞬时峰值</w:t>
      </w:r>
      <w:r>
        <w:rPr>
          <w:rFonts w:hint="eastAsia"/>
        </w:rPr>
        <w:t>直接取</w:t>
      </w:r>
      <w:r>
        <w:t> 6 分钟时间内的</w:t>
      </w:r>
      <w:r>
        <w:rPr>
          <w:rFonts w:hint="eastAsia"/>
        </w:rPr>
        <w:t>最大值</w:t>
      </w:r>
      <w:r>
        <w:t>。</w:t>
      </w:r>
    </w:p>
    <w:p>
      <w:pPr>
        <w:pStyle w:val="106"/>
        <w:spacing w:before="120" w:after="120"/>
      </w:pPr>
      <w:bookmarkStart w:id="93" w:name="_Toc165908049"/>
      <w:bookmarkStart w:id="94" w:name="_Toc160539369"/>
      <w:r>
        <w:t>结果表示</w:t>
      </w:r>
      <w:bookmarkEnd w:id="93"/>
      <w:bookmarkEnd w:id="94"/>
    </w:p>
    <w:p>
      <w:pPr>
        <w:pStyle w:val="66"/>
        <w:spacing w:before="120" w:after="120"/>
      </w:pPr>
      <w:r>
        <w:t>数据统计</w:t>
      </w:r>
    </w:p>
    <w:p>
      <w:pPr>
        <w:pStyle w:val="57"/>
        <w:ind w:firstLine="420"/>
      </w:pPr>
      <w:r>
        <w:t>数据以小时均值、日均值、月均值、年均值进行数据统计</w:t>
      </w:r>
      <w:r>
        <w:rPr>
          <w:rFonts w:hint="eastAsia"/>
        </w:rPr>
        <w:t>，也可根据管理需要对其他时段进行统计</w:t>
      </w:r>
      <w:r>
        <w:t>。</w:t>
      </w:r>
    </w:p>
    <w:p>
      <w:pPr>
        <w:pStyle w:val="66"/>
        <w:spacing w:before="120" w:after="120"/>
      </w:pPr>
      <w:r>
        <w:t>数据表示</w:t>
      </w:r>
    </w:p>
    <w:p>
      <w:pPr>
        <w:pStyle w:val="165"/>
      </w:pPr>
      <w:r>
        <w:t>工频电场、工频磁场结果表示为 </w:t>
      </w:r>
      <m:oMath>
        <m:bar>
          <m:barPr>
            <m:pos m:val="top"/>
            <m:ctrlPr>
              <w:rPr>
                <w:rFonts w:ascii="Cambria Math" w:hAnsi="Cambria Math"/>
                <w:i/>
              </w:rPr>
            </m:ctrlPr>
          </m:barPr>
          <m:e>
            <m:r>
              <m:rPr/>
              <w:rPr>
                <w:rFonts w:ascii="Cambria Math" w:hAnsi="Cambria Math"/>
              </w:rPr>
              <m:t>E</m:t>
            </m:r>
            <m:ctrlPr>
              <w:rPr>
                <w:rFonts w:ascii="Cambria Math" w:hAnsi="Cambria Math"/>
                <w:i/>
              </w:rPr>
            </m:ctrlPr>
          </m:e>
        </m:bar>
      </m:oMath>
      <w:r>
        <w:t> 和 </w:t>
      </w:r>
      <m:oMath>
        <m:bar>
          <m:barPr>
            <m:pos m:val="top"/>
            <m:ctrlPr>
              <w:rPr>
                <w:rFonts w:ascii="Cambria Math" w:hAnsi="Cambria Math"/>
                <w:i/>
              </w:rPr>
            </m:ctrlPr>
          </m:barPr>
          <m:e>
            <m:r>
              <m:rPr/>
              <w:rPr>
                <w:rFonts w:ascii="Cambria Math" w:hAnsi="Cambria Math"/>
              </w:rPr>
              <m:t>B</m:t>
            </m:r>
            <m:ctrlPr>
              <w:rPr>
                <w:rFonts w:ascii="Cambria Math" w:hAnsi="Cambria Math"/>
                <w:i/>
              </w:rPr>
            </m:ctrlPr>
          </m:e>
        </m:bar>
      </m:oMath>
      <w:r>
        <w:t>，分别代表 6 分钟时间内连续监测的工频电场和工频磁场的</w:t>
      </w:r>
      <w:r>
        <w:rPr>
          <w:rFonts w:hint="eastAsia"/>
          <w:lang w:val="en-US" w:eastAsia="zh-CN"/>
        </w:rPr>
        <w:t>算术</w:t>
      </w:r>
      <w:r>
        <w:t>平均值。</w:t>
      </w:r>
    </w:p>
    <w:p>
      <w:pPr>
        <w:pStyle w:val="165"/>
      </w:pPr>
      <w:r>
        <w:t>射频电磁场结果表示为 </w:t>
      </w:r>
      <m:oMath>
        <m:bar>
          <m:barPr>
            <m:pos m:val="top"/>
            <m:ctrlPr>
              <w:rPr>
                <w:rFonts w:ascii="Cambria Math" w:hAnsi="Cambria Math"/>
                <w:i/>
              </w:rPr>
            </m:ctrlPr>
          </m:barPr>
          <m:e>
            <m:r>
              <m:rPr/>
              <w:rPr>
                <w:rFonts w:ascii="Cambria Math" w:hAnsi="Cambria Math"/>
              </w:rPr>
              <m:t>E</m:t>
            </m:r>
            <m:ctrlPr>
              <w:rPr>
                <w:rFonts w:ascii="Cambria Math" w:hAnsi="Cambria Math"/>
                <w:i/>
              </w:rPr>
            </m:ctrlPr>
          </m:e>
        </m:bar>
      </m:oMath>
      <w:r>
        <w:rPr>
          <w:rFonts w:hint="eastAsia"/>
        </w:rPr>
        <w:t>、</w:t>
      </w:r>
      <m:oMath>
        <m:bar>
          <m:barPr>
            <m:pos m:val="top"/>
            <m:ctrlPr>
              <w:rPr>
                <w:rFonts w:ascii="Cambria Math" w:hAnsi="Cambria Math"/>
                <w:i/>
              </w:rPr>
            </m:ctrlPr>
          </m:barPr>
          <m:e>
            <m:r>
              <m:rPr/>
              <w:rPr>
                <w:rFonts w:ascii="Cambria Math" w:hAnsi="Cambria Math"/>
              </w:rPr>
              <m:t>H</m:t>
            </m:r>
            <m:ctrlPr>
              <w:rPr>
                <w:rFonts w:ascii="Cambria Math" w:hAnsi="Cambria Math"/>
                <w:i/>
              </w:rPr>
            </m:ctrlPr>
          </m:e>
        </m:bar>
      </m:oMath>
      <w:r>
        <w:t> 和 </w:t>
      </w:r>
      <m:oMath>
        <m:bar>
          <m:barPr>
            <m:pos m:val="top"/>
            <m:ctrlPr>
              <w:rPr>
                <w:rFonts w:ascii="Cambria Math" w:hAnsi="Cambria Math"/>
                <w:i/>
              </w:rPr>
            </m:ctrlPr>
          </m:barPr>
          <m:e>
            <m:r>
              <m:rPr/>
              <w:rPr>
                <w:rFonts w:ascii="Cambria Math" w:hAnsi="Cambria Math"/>
              </w:rPr>
              <m:t>S</m:t>
            </m:r>
            <m:ctrlPr>
              <w:rPr>
                <w:rFonts w:ascii="Cambria Math" w:hAnsi="Cambria Math"/>
                <w:i/>
              </w:rPr>
            </m:ctrlPr>
          </m:e>
        </m:bar>
      </m:oMath>
      <w:r>
        <w:t>，分别代表 6 分钟时间内连续监测的电场强度</w:t>
      </w:r>
      <w:r>
        <w:rPr>
          <w:rFonts w:hint="eastAsia"/>
        </w:rPr>
        <w:t>、磁场强度</w:t>
      </w:r>
      <w:r>
        <w:t>和功率密度的</w:t>
      </w:r>
      <w:r>
        <w:rPr>
          <w:rFonts w:hint="eastAsia"/>
          <w:lang w:val="en-US" w:eastAsia="zh-CN"/>
        </w:rPr>
        <w:t>算术</w:t>
      </w:r>
      <w:r>
        <w:t>平均值。</w:t>
      </w:r>
    </w:p>
    <w:p>
      <w:pPr>
        <w:pStyle w:val="165"/>
      </w:pPr>
      <w:r>
        <w:t>对脉冲电磁波的瞬时峰值</w:t>
      </w:r>
      <w:r>
        <w:rPr>
          <w:rFonts w:hint="eastAsia"/>
        </w:rPr>
        <w:t>结果</w:t>
      </w:r>
      <w:r>
        <w:t>表示为 </w:t>
      </w:r>
      <w:r>
        <w:rPr>
          <w:i/>
          <w:iCs/>
        </w:rPr>
        <w:t>E</w:t>
      </w:r>
      <w:r>
        <w:rPr>
          <w:rFonts w:hint="eastAsia"/>
          <w:i/>
          <w:iCs/>
          <w:vertAlign w:val="subscript"/>
        </w:rPr>
        <w:t>max</w:t>
      </w:r>
      <w:r>
        <w:t> 和 </w:t>
      </w:r>
      <w:r>
        <w:rPr>
          <w:i/>
          <w:iCs/>
        </w:rPr>
        <w:t>S</w:t>
      </w:r>
      <w:r>
        <w:rPr>
          <w:rFonts w:hint="eastAsia"/>
          <w:i/>
          <w:iCs/>
          <w:vertAlign w:val="subscript"/>
        </w:rPr>
        <w:t>max</w:t>
      </w:r>
      <w:r>
        <w:t>，分别代表 6 分钟时间内连续监测的电场强度和功率密度的瞬时峰值。</w:t>
      </w:r>
    </w:p>
    <w:p>
      <w:pPr>
        <w:pStyle w:val="66"/>
        <w:spacing w:before="120" w:after="120"/>
      </w:pPr>
      <w:bookmarkStart w:id="95" w:name="_Toc160539370"/>
      <w:r>
        <w:t>数据修约</w:t>
      </w:r>
    </w:p>
    <w:p>
      <w:pPr>
        <w:pStyle w:val="57"/>
        <w:ind w:firstLine="420"/>
      </w:pPr>
      <w:r>
        <w:t>监测数据有效数字和数值修约执行 GB/T</w:t>
      </w:r>
      <w:r>
        <w:rPr>
          <w:rFonts w:hint="eastAsia"/>
        </w:rPr>
        <w:t xml:space="preserve"> </w:t>
      </w:r>
      <w:r>
        <w:t>8170 和相关监测标准方法的有关规定执行。</w:t>
      </w:r>
    </w:p>
    <w:p>
      <w:pPr>
        <w:pStyle w:val="66"/>
        <w:spacing w:before="120" w:after="120"/>
      </w:pPr>
      <w:r>
        <w:t>异常分析</w:t>
      </w:r>
    </w:p>
    <w:p>
      <w:pPr>
        <w:pStyle w:val="57"/>
        <w:ind w:firstLine="420"/>
      </w:pPr>
      <w:r>
        <w:t>6 分钟监测内的单次检测数据记为 </w:t>
      </w:r>
      <w:r>
        <w:rPr>
          <w:i/>
          <w:iCs/>
        </w:rPr>
        <w:t>X</w:t>
      </w:r>
      <w:r>
        <w:rPr>
          <w:i/>
          <w:iCs/>
          <w:vertAlign w:val="subscript"/>
        </w:rPr>
        <w:t>i</w:t>
      </w:r>
      <w:r>
        <w:t>，6 分钟监测数据</w:t>
      </w:r>
      <w:r>
        <w:rPr>
          <w:rFonts w:hint="eastAsia"/>
          <w:lang w:val="en-US" w:eastAsia="zh-CN"/>
        </w:rPr>
        <w:t>算术</w:t>
      </w:r>
      <w:r>
        <w:t>平均值记为 </w:t>
      </w:r>
      <m:oMath>
        <m:bar>
          <m:barPr>
            <m:pos m:val="top"/>
            <m:ctrlPr>
              <w:rPr>
                <w:rFonts w:ascii="Cambria Math" w:hAnsi="Cambria Math"/>
                <w:i/>
              </w:rPr>
            </m:ctrlPr>
          </m:barPr>
          <m:e>
            <m:r>
              <m:rPr/>
              <w:rPr>
                <w:rFonts w:ascii="Cambria Math" w:hAnsi="Cambria Math"/>
              </w:rPr>
              <m:t>X</m:t>
            </m:r>
            <m:ctrlPr>
              <w:rPr>
                <w:rFonts w:ascii="Cambria Math" w:hAnsi="Cambria Math"/>
                <w:i/>
              </w:rPr>
            </m:ctrlPr>
          </m:e>
        </m:bar>
      </m:oMath>
      <w:r>
        <w:t>。</w:t>
      </w:r>
      <w:r>
        <w:rPr>
          <w:rFonts w:hint="eastAsia"/>
        </w:rPr>
        <w:t>对</w:t>
      </w:r>
      <w:r>
        <w:t>超出平均值 30</w:t>
      </w:r>
      <w:r>
        <w:rPr>
          <w:rFonts w:hint="eastAsia" w:ascii="MS Mincho" w:hAnsi="MS Mincho" w:eastAsia="MS Mincho" w:cs="MS Mincho"/>
        </w:rPr>
        <w:t> </w:t>
      </w:r>
      <w:r>
        <w:t>% 的单</w:t>
      </w:r>
      <w:r>
        <w:rPr>
          <w:rFonts w:ascii="Times New Roman"/>
        </w:rPr>
        <w:t>次监测数据</w:t>
      </w:r>
      <w:r>
        <w:t> </w:t>
      </w:r>
      <w:r>
        <w:rPr>
          <w:rFonts w:ascii="Times New Roman"/>
          <w:i/>
          <w:iCs/>
        </w:rPr>
        <w:t>X</w:t>
      </w:r>
      <w:r>
        <w:rPr>
          <w:rFonts w:ascii="Times New Roman"/>
          <w:i/>
          <w:iCs/>
          <w:vertAlign w:val="subscript"/>
        </w:rPr>
        <w:t>i</w:t>
      </w:r>
      <w:r>
        <w:t> </w:t>
      </w:r>
      <w:r>
        <w:rPr>
          <w:rFonts w:ascii="Times New Roman"/>
        </w:rPr>
        <w:t>应进行标注，记为突发电磁环境事件，并</w:t>
      </w:r>
      <w:r>
        <w:rPr>
          <w:rFonts w:hint="eastAsia"/>
        </w:rPr>
        <w:t>调查</w:t>
      </w:r>
      <w:r>
        <w:rPr>
          <w:rFonts w:ascii="Times New Roman"/>
        </w:rPr>
        <w:t>可能引起监测数据异常的原因</w:t>
      </w:r>
      <w:r>
        <w:rPr>
          <w:rFonts w:hint="eastAsia"/>
        </w:rPr>
        <w:t>，如设备</w:t>
      </w:r>
      <w:r>
        <w:rPr>
          <w:rFonts w:ascii="Times New Roman"/>
        </w:rPr>
        <w:t>故障</w:t>
      </w:r>
      <w:r>
        <w:rPr>
          <w:rFonts w:hint="eastAsia"/>
        </w:rPr>
        <w:t>、人为干扰、环境突变或</w:t>
      </w:r>
      <w:r>
        <w:rPr>
          <w:rFonts w:ascii="Times New Roman"/>
        </w:rPr>
        <w:t>其他因素</w:t>
      </w:r>
      <w:r>
        <w:rPr>
          <w:rFonts w:hint="eastAsia"/>
        </w:rPr>
        <w:t>等</w:t>
      </w:r>
      <w:r>
        <w:rPr>
          <w:rFonts w:ascii="Times New Roman"/>
        </w:rPr>
        <w:t>。</w:t>
      </w:r>
    </w:p>
    <w:bookmarkEnd w:id="95"/>
    <w:p>
      <w:pPr>
        <w:pStyle w:val="106"/>
        <w:spacing w:before="120" w:after="120"/>
      </w:pPr>
      <w:bookmarkStart w:id="96" w:name="_Toc165908050"/>
      <w:r>
        <w:t>结果评价</w:t>
      </w:r>
      <w:bookmarkEnd w:id="96"/>
    </w:p>
    <w:p>
      <w:pPr>
        <w:pStyle w:val="166"/>
      </w:pPr>
      <w:r>
        <w:t>根据 GB 8702 及 HJ</w:t>
      </w:r>
      <w:r>
        <w:rPr>
          <w:rFonts w:hint="eastAsia"/>
        </w:rPr>
        <w:t xml:space="preserve"> </w:t>
      </w:r>
      <w:r>
        <w:t>1349 </w:t>
      </w:r>
      <w:r>
        <w:rPr>
          <w:rFonts w:hint="eastAsia"/>
        </w:rPr>
        <w:t>相关</w:t>
      </w:r>
      <w:r>
        <w:t>规定</w:t>
      </w:r>
      <w:r>
        <w:rPr>
          <w:rFonts w:hint="eastAsia"/>
        </w:rPr>
        <w:t>对</w:t>
      </w:r>
      <w:r>
        <w:t>电磁环境质量监测</w:t>
      </w:r>
      <w:r>
        <w:rPr>
          <w:rFonts w:hint="eastAsia"/>
        </w:rPr>
        <w:t>结果</w:t>
      </w:r>
      <w:r>
        <w:t>进行评价。</w:t>
      </w:r>
    </w:p>
    <w:p>
      <w:pPr>
        <w:pStyle w:val="166"/>
      </w:pPr>
      <w:r>
        <w:t>根据 GB 8702 </w:t>
      </w:r>
      <w:r>
        <w:rPr>
          <w:rFonts w:hint="eastAsia"/>
        </w:rPr>
        <w:t>及</w:t>
      </w:r>
      <w:r>
        <w:t>电磁辐射设施</w:t>
      </w:r>
      <w:r>
        <w:rPr>
          <w:rFonts w:hint="eastAsia"/>
        </w:rPr>
        <w:t>环境管理</w:t>
      </w:r>
      <w:r>
        <w:t>限值对电磁辐射设施监测</w:t>
      </w:r>
      <w:r>
        <w:rPr>
          <w:rFonts w:hint="eastAsia"/>
        </w:rPr>
        <w:t>结果</w:t>
      </w:r>
      <w:r>
        <w:t>进行评价。</w:t>
      </w:r>
    </w:p>
    <w:p>
      <w:pPr>
        <w:pStyle w:val="166"/>
      </w:pPr>
      <w:r>
        <w:t>分别统计单次监测值、小时均值、日均值、月均值、年均值达标情况。以小时均值、日均值、月均值、年均值等为基础，绘制趋势图。根据趋势图判断分析</w:t>
      </w:r>
      <w:r>
        <w:rPr>
          <w:rFonts w:hint="eastAsia"/>
        </w:rPr>
        <w:t>或</w:t>
      </w:r>
      <w:r>
        <w:t>预测电磁环境影响最大值出现的时间范围。</w:t>
      </w:r>
    </w:p>
    <w:p>
      <w:pPr>
        <w:pStyle w:val="105"/>
        <w:spacing w:before="240" w:after="240"/>
      </w:pPr>
      <w:bookmarkStart w:id="97" w:name="_Toc406"/>
      <w:bookmarkStart w:id="98" w:name="_Toc30337"/>
      <w:bookmarkStart w:id="99" w:name="_Toc165908051"/>
      <w:bookmarkStart w:id="100" w:name="_Toc29671"/>
      <w:bookmarkStart w:id="101" w:name="_Toc16923"/>
      <w:bookmarkStart w:id="102" w:name="_Toc160539376"/>
      <w:bookmarkStart w:id="103" w:name="_Toc160539391"/>
      <w:r>
        <w:t>运维管理</w:t>
      </w:r>
      <w:bookmarkEnd w:id="97"/>
      <w:bookmarkEnd w:id="98"/>
      <w:bookmarkEnd w:id="99"/>
      <w:bookmarkEnd w:id="100"/>
    </w:p>
    <w:p>
      <w:pPr>
        <w:pStyle w:val="106"/>
        <w:spacing w:before="120" w:after="120"/>
      </w:pPr>
      <w:bookmarkStart w:id="104" w:name="_Toc165908052"/>
      <w:bookmarkStart w:id="105" w:name="_Toc160539364"/>
      <w:r>
        <w:rPr>
          <w:rFonts w:hint="eastAsia"/>
        </w:rPr>
        <w:t>一般</w:t>
      </w:r>
      <w:r>
        <w:t>要求</w:t>
      </w:r>
      <w:bookmarkEnd w:id="104"/>
    </w:p>
    <w:p>
      <w:pPr>
        <w:pStyle w:val="166"/>
      </w:pPr>
      <w:r>
        <w:t>建立由日记录、周核查、月质控等多级质控措施，保障数据正常上传、远程管理平台运行顺畅，保证自动监测站数据质量。</w:t>
      </w:r>
    </w:p>
    <w:p>
      <w:pPr>
        <w:pStyle w:val="166"/>
      </w:pPr>
      <w:r>
        <w:t>当监测数据出现报警或超标时，应</w:t>
      </w:r>
      <w:r>
        <w:rPr>
          <w:rFonts w:hint="eastAsia"/>
        </w:rPr>
        <w:t>立即</w:t>
      </w:r>
      <w:r>
        <w:t>进行核查；监测仪器期间核查和校准</w:t>
      </w:r>
      <w:r>
        <w:rPr>
          <w:rFonts w:hint="eastAsia"/>
        </w:rPr>
        <w:t>应按计划落实；</w:t>
      </w:r>
      <w:r>
        <w:t>所有维护及质控</w:t>
      </w:r>
      <w:r>
        <w:rPr>
          <w:rFonts w:hint="eastAsia"/>
        </w:rPr>
        <w:t>活动</w:t>
      </w:r>
      <w:r>
        <w:t>均应形成书面记录。</w:t>
      </w:r>
    </w:p>
    <w:p>
      <w:pPr>
        <w:pStyle w:val="106"/>
        <w:spacing w:before="120" w:after="120"/>
      </w:pPr>
      <w:bookmarkStart w:id="106" w:name="_Toc165908053"/>
      <w:r>
        <w:t>运维单位</w:t>
      </w:r>
      <w:bookmarkEnd w:id="106"/>
      <w:r>
        <w:t xml:space="preserve"> </w:t>
      </w:r>
    </w:p>
    <w:p>
      <w:pPr>
        <w:pStyle w:val="166"/>
      </w:pPr>
      <w:r>
        <w:t>运维单位应建立覆盖人、机、料、法、环等环节的运维管理体系，保障监测系统正常可靠运行。</w:t>
      </w:r>
    </w:p>
    <w:p>
      <w:pPr>
        <w:pStyle w:val="166"/>
      </w:pPr>
      <w:r>
        <w:rPr>
          <w:rFonts w:hint="eastAsia"/>
        </w:rPr>
        <w:t>运维</w:t>
      </w:r>
      <w:r>
        <w:t>单位应实时监控自动监测数据和设备运行状态，对小时数据有效性进行判别，及时处理异常情况，并分别于每日 10 时前通过管理平台对数据的有效性进行审核确认。</w:t>
      </w:r>
    </w:p>
    <w:p>
      <w:pPr>
        <w:pStyle w:val="166"/>
      </w:pPr>
      <w:r>
        <w:rPr>
          <w:rFonts w:hint="eastAsia"/>
        </w:rPr>
        <w:t>运维</w:t>
      </w:r>
      <w:r>
        <w:t>单位应根据仪器说明书、测量原理、运行环境以及监测数据制定巡检计划，明确监测系统维护保养内容、周期或耗材更换周期等，严格按照计划开展日常巡检和维护保养工作并做好记录。</w:t>
      </w:r>
    </w:p>
    <w:p>
      <w:pPr>
        <w:pStyle w:val="166"/>
      </w:pPr>
      <w:r>
        <w:t>运维单位应根据系统的配置、仪器性能、电磁数据情况等情况，编制运维管理手册</w:t>
      </w:r>
      <w:r>
        <w:rPr>
          <w:rFonts w:hint="eastAsia"/>
        </w:rPr>
        <w:t>，并做好</w:t>
      </w:r>
      <w:r>
        <w:t>相关维护记录</w:t>
      </w:r>
      <w:r>
        <w:rPr>
          <w:rFonts w:hint="eastAsia"/>
        </w:rPr>
        <w:t>档案</w:t>
      </w:r>
      <w:r>
        <w:t>。</w:t>
      </w:r>
    </w:p>
    <w:p>
      <w:pPr>
        <w:pStyle w:val="106"/>
        <w:spacing w:before="120" w:after="120"/>
      </w:pPr>
      <w:bookmarkStart w:id="107" w:name="_Toc165908054"/>
      <w:r>
        <w:t>运维计划与运维报告</w:t>
      </w:r>
      <w:bookmarkEnd w:id="107"/>
    </w:p>
    <w:p>
      <w:pPr>
        <w:pStyle w:val="66"/>
        <w:spacing w:before="120" w:after="120"/>
      </w:pPr>
      <w:r>
        <w:t>运维计划</w:t>
      </w:r>
    </w:p>
    <w:p>
      <w:pPr>
        <w:pStyle w:val="57"/>
        <w:ind w:firstLine="420"/>
      </w:pPr>
      <w:r>
        <w:t>运维单位每月</w:t>
      </w:r>
      <w:r>
        <w:rPr>
          <w:rFonts w:hint="eastAsia"/>
        </w:rPr>
        <w:t>末</w:t>
      </w:r>
      <w:r>
        <w:t xml:space="preserve">周应制定下月运维计划，包括维护时间、维护人员、维护内容等。 </w:t>
      </w:r>
    </w:p>
    <w:p>
      <w:pPr>
        <w:pStyle w:val="66"/>
        <w:spacing w:before="120" w:after="120"/>
      </w:pPr>
      <w:r>
        <w:t xml:space="preserve">运维报告 </w:t>
      </w:r>
    </w:p>
    <w:p>
      <w:pPr>
        <w:pStyle w:val="57"/>
        <w:ind w:firstLine="420"/>
      </w:pPr>
      <w:r>
        <w:t>运维单位每月</w:t>
      </w:r>
      <w:r>
        <w:rPr>
          <w:rFonts w:hint="eastAsia"/>
        </w:rPr>
        <w:t>首周</w:t>
      </w:r>
      <w:r>
        <w:t>应提交上月运维报告，包括维护人员、实际巡检日期、维护内容、维护效果等。</w:t>
      </w:r>
    </w:p>
    <w:p>
      <w:pPr>
        <w:pStyle w:val="106"/>
        <w:spacing w:before="120" w:after="120"/>
      </w:pPr>
      <w:bookmarkStart w:id="108" w:name="_Toc165908055"/>
      <w:r>
        <w:t>运维要求</w:t>
      </w:r>
      <w:bookmarkEnd w:id="108"/>
    </w:p>
    <w:p>
      <w:pPr>
        <w:pStyle w:val="66"/>
        <w:spacing w:before="120" w:after="120"/>
      </w:pPr>
      <w:r>
        <w:t>每日监控</w:t>
      </w:r>
    </w:p>
    <w:p>
      <w:pPr>
        <w:pStyle w:val="57"/>
        <w:ind w:firstLine="420"/>
      </w:pPr>
      <w:r>
        <w:t>每日上午和下午至少各 2 次远程查看监测数据并形成记录，分析监测数据，对站点运行情况进行远程诊断和运行管理。</w:t>
      </w:r>
    </w:p>
    <w:p>
      <w:pPr>
        <w:pStyle w:val="66"/>
        <w:spacing w:before="120" w:after="120"/>
      </w:pPr>
      <w:r>
        <w:rPr>
          <w:rFonts w:hint="eastAsia"/>
        </w:rPr>
        <w:t>双</w:t>
      </w:r>
      <w:r>
        <w:t>周运维</w:t>
      </w:r>
    </w:p>
    <w:p>
      <w:pPr>
        <w:pStyle w:val="57"/>
        <w:ind w:firstLine="420"/>
      </w:pPr>
      <w:r>
        <w:t>每 2 周至少巡视站点 1 次，并做好巡查记录，清</w:t>
      </w:r>
      <w:r>
        <w:rPr>
          <w:rFonts w:hint="eastAsia"/>
        </w:rPr>
        <w:t>洁</w:t>
      </w:r>
      <w:r>
        <w:t>太阳能板，</w:t>
      </w:r>
      <w:r>
        <w:rPr>
          <w:rFonts w:hint="eastAsia"/>
        </w:rPr>
        <w:t>检查</w:t>
      </w:r>
      <w:r>
        <w:t>监测设备有无损坏</w:t>
      </w:r>
      <w:r>
        <w:rPr>
          <w:rFonts w:hint="eastAsia"/>
        </w:rPr>
        <w:t>或隐患</w:t>
      </w:r>
      <w:r>
        <w:t>；检查线路</w:t>
      </w:r>
      <w:r>
        <w:rPr>
          <w:rFonts w:hint="eastAsia"/>
        </w:rPr>
        <w:t>连接</w:t>
      </w:r>
      <w:r>
        <w:t>是否可靠，判断运行状况和工作参数是否正常</w:t>
      </w:r>
      <w:r>
        <w:rPr>
          <w:rFonts w:hint="eastAsia"/>
        </w:rPr>
        <w:t>。</w:t>
      </w:r>
      <w:r>
        <w:t>如有异常情况应及时处理，保证</w:t>
      </w:r>
      <w:r>
        <w:rPr>
          <w:rFonts w:hint="eastAsia"/>
        </w:rPr>
        <w:t>设备</w:t>
      </w:r>
      <w:r>
        <w:t>正常运行。</w:t>
      </w:r>
    </w:p>
    <w:p>
      <w:pPr>
        <w:pStyle w:val="66"/>
        <w:spacing w:before="120" w:after="120"/>
      </w:pPr>
      <w:r>
        <w:t>季度运维</w:t>
      </w:r>
    </w:p>
    <w:p>
      <w:pPr>
        <w:pStyle w:val="57"/>
        <w:ind w:firstLine="420"/>
      </w:pPr>
      <w:r>
        <w:t>现场使用便携式设备进行数据随机比对，检查显示数据之间的一致性。</w:t>
      </w:r>
    </w:p>
    <w:p>
      <w:pPr>
        <w:pStyle w:val="66"/>
        <w:spacing w:before="120" w:after="120"/>
      </w:pPr>
      <w:r>
        <w:t>半年运维</w:t>
      </w:r>
    </w:p>
    <w:p>
      <w:pPr>
        <w:pStyle w:val="57"/>
        <w:ind w:firstLine="420"/>
      </w:pPr>
      <w:r>
        <w:t>做好期间核查，对监测系统整体进行检查，形成期间核查报告和系统检查报告。</w:t>
      </w:r>
    </w:p>
    <w:p>
      <w:pPr>
        <w:pStyle w:val="66"/>
        <w:spacing w:before="120" w:after="120"/>
      </w:pPr>
      <w:r>
        <w:t>年度运维</w:t>
      </w:r>
    </w:p>
    <w:p>
      <w:pPr>
        <w:pStyle w:val="57"/>
        <w:ind w:firstLine="420"/>
      </w:pPr>
      <w:r>
        <w:t>每台监测设备至少每年进行 1 次准确度检查，并进行预防性维护，按说明书的要求更换备件</w:t>
      </w:r>
      <w:r>
        <w:rPr>
          <w:rFonts w:hint="eastAsia"/>
        </w:rPr>
        <w:t>。</w:t>
      </w:r>
    </w:p>
    <w:p>
      <w:pPr>
        <w:pStyle w:val="66"/>
        <w:spacing w:before="120" w:after="120"/>
      </w:pPr>
      <w:r>
        <w:t>故障处理</w:t>
      </w:r>
    </w:p>
    <w:p>
      <w:pPr>
        <w:pStyle w:val="165"/>
      </w:pPr>
      <w:r>
        <w:t>设备及数据发现异常时，应及时处理，包括但不限于</w:t>
      </w:r>
      <w:r>
        <w:rPr>
          <w:rFonts w:hint="eastAsia"/>
        </w:rPr>
        <w:t>：</w:t>
      </w:r>
    </w:p>
    <w:p>
      <w:pPr>
        <w:pStyle w:val="175"/>
        <w:numPr>
          <w:ilvl w:val="0"/>
          <w:numId w:val="33"/>
        </w:numPr>
      </w:pPr>
      <w:r>
        <w:t>现场巡检发现设备故障；</w:t>
      </w:r>
    </w:p>
    <w:p>
      <w:pPr>
        <w:pStyle w:val="175"/>
      </w:pPr>
      <w:r>
        <w:t>发现数据异常；</w:t>
      </w:r>
    </w:p>
    <w:p>
      <w:pPr>
        <w:pStyle w:val="175"/>
      </w:pPr>
      <w:r>
        <w:t>接到设备预警报警信息。</w:t>
      </w:r>
    </w:p>
    <w:p>
      <w:pPr>
        <w:pStyle w:val="165"/>
      </w:pPr>
      <w:r>
        <w:t>6:00～23:00 出现故障或数据异常，应在 1 h 之内响应，4 h 内到达现场解决（通信故障除外，但应及时与相关部门联系积极解决）；其他时间段，应在次日 8</w:t>
      </w:r>
      <w:r>
        <w:rPr>
          <w:rFonts w:hint="eastAsia"/>
        </w:rPr>
        <w:t>:</w:t>
      </w:r>
      <w:r>
        <w:t>30 之前到达现场进行故障排除。</w:t>
      </w:r>
    </w:p>
    <w:p>
      <w:pPr>
        <w:pStyle w:val="165"/>
      </w:pPr>
      <w:r>
        <w:t>数据采集处理传输单元发生故障，应在 72 h 内修复或更换；其他故障，应在 4 h 内及时解决。</w:t>
      </w:r>
    </w:p>
    <w:p>
      <w:pPr>
        <w:pStyle w:val="165"/>
      </w:pPr>
      <w:r>
        <w:t>为确保监测数据的真实可靠，故障排除后应进行现场测试比对，并填写相应的维修、比对数据记录。</w:t>
      </w:r>
    </w:p>
    <w:bookmarkEnd w:id="105"/>
    <w:p>
      <w:pPr>
        <w:pStyle w:val="105"/>
        <w:spacing w:before="240" w:after="240"/>
      </w:pPr>
      <w:bookmarkStart w:id="109" w:name="_Toc165908056"/>
      <w:bookmarkStart w:id="110" w:name="_Toc32014"/>
      <w:bookmarkStart w:id="111" w:name="_Toc1548"/>
      <w:bookmarkStart w:id="112" w:name="_Toc30052"/>
      <w:r>
        <w:t>质量保证</w:t>
      </w:r>
      <w:bookmarkEnd w:id="101"/>
      <w:bookmarkEnd w:id="102"/>
      <w:bookmarkEnd w:id="103"/>
      <w:bookmarkEnd w:id="109"/>
      <w:bookmarkEnd w:id="110"/>
      <w:bookmarkEnd w:id="111"/>
      <w:bookmarkEnd w:id="112"/>
    </w:p>
    <w:p>
      <w:pPr>
        <w:pStyle w:val="106"/>
        <w:spacing w:before="120" w:after="120"/>
      </w:pPr>
      <w:bookmarkStart w:id="113" w:name="_Toc165908057"/>
      <w:bookmarkStart w:id="114" w:name="_Toc160539377"/>
      <w:r>
        <w:t>质保要求</w:t>
      </w:r>
      <w:bookmarkEnd w:id="113"/>
    </w:p>
    <w:p>
      <w:pPr>
        <w:pStyle w:val="57"/>
        <w:ind w:firstLine="420"/>
      </w:pPr>
      <w:r>
        <w:t>电磁辐射环境自动监测系统可纳入使用单位质量管理体系，编制相关的作业指导书和操作规程，实施全过程质量管理。</w:t>
      </w:r>
    </w:p>
    <w:p>
      <w:pPr>
        <w:pStyle w:val="106"/>
        <w:spacing w:before="120" w:after="120"/>
      </w:pPr>
      <w:bookmarkStart w:id="115" w:name="_Toc165908058"/>
      <w:r>
        <w:t>量值溯源</w:t>
      </w:r>
      <w:bookmarkEnd w:id="115"/>
    </w:p>
    <w:p>
      <w:pPr>
        <w:pStyle w:val="166"/>
      </w:pPr>
      <w:r>
        <w:t>电磁辐射环境自动监测系统运行前或进行可能影响其性能的维护维修后，监测仪器应由具备资质的计量技术机构进行校准，保证量值可追溯至国家计量标准。</w:t>
      </w:r>
    </w:p>
    <w:p>
      <w:pPr>
        <w:pStyle w:val="166"/>
      </w:pPr>
      <w:r>
        <w:t>测量结果应根据校准证书，选用合适的校准系数进行修正，以保证测量结果的准确性。</w:t>
      </w:r>
    </w:p>
    <w:p>
      <w:pPr>
        <w:pStyle w:val="106"/>
        <w:spacing w:before="120" w:after="120"/>
      </w:pPr>
      <w:bookmarkStart w:id="116" w:name="_Toc165908059"/>
      <w:r>
        <w:t>期间核查</w:t>
      </w:r>
      <w:bookmarkEnd w:id="116"/>
    </w:p>
    <w:bookmarkEnd w:id="11"/>
    <w:p>
      <w:pPr>
        <w:pStyle w:val="57"/>
        <w:ind w:firstLine="420"/>
      </w:pPr>
      <w:r>
        <w:t>电磁辐射环境自动监测系统正常运行期间，监测仪器应至少每年进行</w:t>
      </w:r>
      <w:r>
        <w:rPr>
          <w:rFonts w:hint="eastAsia"/>
        </w:rPr>
        <w:t>两</w:t>
      </w:r>
      <w:r>
        <w:t>次期间核查。期间核查方式包括同类型仪器比对监测或</w:t>
      </w:r>
      <w:r>
        <w:rPr>
          <w:rFonts w:hint="eastAsia"/>
        </w:rPr>
        <w:t>采用</w:t>
      </w:r>
      <w:r>
        <w:t>标准</w:t>
      </w:r>
      <w:r>
        <w:rPr>
          <w:rFonts w:hint="eastAsia"/>
        </w:rPr>
        <w:t>电磁辐射发射</w:t>
      </w:r>
      <w:r>
        <w:t>源</w:t>
      </w:r>
      <w:r>
        <w:rPr>
          <w:rFonts w:hint="eastAsia"/>
        </w:rPr>
        <w:t>在</w:t>
      </w:r>
      <w:r>
        <w:t>现场比对</w:t>
      </w:r>
      <w:r>
        <w:rPr>
          <w:rFonts w:hint="eastAsia"/>
        </w:rPr>
        <w:t>监测等</w:t>
      </w:r>
      <w:r>
        <w:t>。</w:t>
      </w:r>
      <w:bookmarkEnd w:id="114"/>
    </w:p>
    <w:p>
      <w:r>
        <w:br w:type="page"/>
      </w:r>
    </w:p>
    <w:p>
      <w:pPr>
        <w:pStyle w:val="64"/>
        <w:spacing w:after="120"/>
        <w:rPr>
          <w:rFonts w:hint="eastAsia"/>
        </w:rPr>
      </w:pPr>
      <w:bookmarkStart w:id="117" w:name="_Toc10388"/>
      <w:r>
        <w:rPr>
          <w:rFonts w:hint="eastAsia"/>
          <w:spacing w:val="105"/>
        </w:rPr>
        <w:t>参考文</w:t>
      </w:r>
      <w:r>
        <w:rPr>
          <w:rFonts w:hint="eastAsia"/>
        </w:rPr>
        <w:t>献</w:t>
      </w:r>
      <w:bookmarkEnd w:id="117"/>
    </w:p>
    <w:p>
      <w:pPr>
        <w:pStyle w:val="57"/>
        <w:ind w:firstLine="420"/>
        <w:rPr>
          <w:rFonts w:hAnsi="宋体"/>
        </w:rPr>
      </w:pPr>
      <w:r>
        <w:rPr>
          <w:rFonts w:hint="eastAsia" w:hAnsi="宋体"/>
        </w:rPr>
        <w:t>[1]　HJ 1199</w:t>
      </w:r>
      <w:r>
        <w:rPr>
          <w:rFonts w:hAnsi="宋体"/>
        </w:rPr>
        <w:t>—202</w:t>
      </w:r>
      <w:r>
        <w:rPr>
          <w:rFonts w:hint="eastAsia" w:hAnsi="宋体"/>
        </w:rPr>
        <w:t>1　短波广播发射台电磁辐射环境监测方法</w:t>
      </w:r>
    </w:p>
    <w:p>
      <w:pPr>
        <w:pStyle w:val="57"/>
        <w:ind w:firstLine="420"/>
      </w:pPr>
      <w:r>
        <w:rPr>
          <w:rFonts w:hint="eastAsia" w:hAnsi="宋体"/>
        </w:rPr>
        <w:t>[2]　</w:t>
      </w:r>
      <w:r>
        <w:rPr>
          <w:rFonts w:hAnsi="宋体"/>
        </w:rPr>
        <w:t>HJ 1136—202</w:t>
      </w:r>
      <w:r>
        <w:rPr>
          <w:rFonts w:hint="eastAsia" w:hAnsi="宋体"/>
        </w:rPr>
        <w:t>0　</w:t>
      </w:r>
      <w:r>
        <w:rPr>
          <w:rFonts w:hAnsi="宋体"/>
        </w:rPr>
        <w:t>中波广播发射台电磁辐射环境监测方法</w:t>
      </w:r>
    </w:p>
    <w:p>
      <w:pPr>
        <w:pStyle w:val="57"/>
        <w:ind w:firstLine="420"/>
      </w:pPr>
      <w:r>
        <w:rPr>
          <w:rFonts w:hint="eastAsia" w:hAnsi="宋体"/>
        </w:rPr>
        <w:t>[3]　</w:t>
      </w:r>
      <w:r>
        <w:rPr>
          <w:rFonts w:hAnsi="宋体"/>
        </w:rPr>
        <w:t>HJ 972—20</w:t>
      </w:r>
      <w:r>
        <w:rPr>
          <w:rFonts w:hint="eastAsia" w:hAnsi="宋体"/>
        </w:rPr>
        <w:t>18　</w:t>
      </w:r>
      <w:r>
        <w:rPr>
          <w:rFonts w:hAnsi="宋体"/>
        </w:rPr>
        <w:t>移动通信基站电磁辐射环境监测方法</w:t>
      </w:r>
    </w:p>
    <w:p>
      <w:pPr>
        <w:pStyle w:val="57"/>
        <w:ind w:firstLine="420"/>
      </w:pPr>
      <w:r>
        <w:rPr>
          <w:rFonts w:hint="eastAsia"/>
        </w:rPr>
        <w:t>[4]　</w:t>
      </w:r>
      <w:r>
        <w:rPr>
          <w:rFonts w:hAnsi="宋体"/>
        </w:rPr>
        <w:t>HJ 1151—202</w:t>
      </w:r>
      <w:r>
        <w:rPr>
          <w:rFonts w:hint="eastAsia" w:hAnsi="宋体"/>
        </w:rPr>
        <w:t>0　</w:t>
      </w:r>
      <w:r>
        <w:rPr>
          <w:rFonts w:hAnsi="宋体"/>
        </w:rPr>
        <w:t>5G移动通信基站电磁辐射环境监测方法（试行）</w:t>
      </w:r>
    </w:p>
    <w:p>
      <w:pPr>
        <w:pStyle w:val="57"/>
        <w:ind w:firstLine="420"/>
      </w:pPr>
      <w:r>
        <w:rPr>
          <w:rFonts w:hint="eastAsia"/>
        </w:rPr>
        <w:t>[5]　HJ/T 10.2</w:t>
      </w:r>
      <w:r>
        <w:rPr>
          <w:rFonts w:hAnsi="宋体"/>
        </w:rPr>
        <w:t>—</w:t>
      </w:r>
      <w:r>
        <w:rPr>
          <w:rFonts w:hint="eastAsia" w:hAnsi="宋体"/>
        </w:rPr>
        <w:t>1996　</w:t>
      </w:r>
      <w:r>
        <w:rPr>
          <w:rFonts w:hint="eastAsia"/>
        </w:rPr>
        <w:t>辐射环境保护管理导则 电磁辐射监测仪器和方法</w:t>
      </w:r>
    </w:p>
    <w:p>
      <w:pPr>
        <w:pStyle w:val="57"/>
        <w:ind w:firstLine="420"/>
        <w:rPr>
          <w:rFonts w:hint="eastAsia"/>
        </w:rPr>
      </w:pPr>
      <w:r>
        <w:rPr>
          <w:rFonts w:hint="eastAsia"/>
        </w:rPr>
        <w:t>[6]　YD/T 2830</w:t>
      </w:r>
      <w:r>
        <w:rPr>
          <w:rFonts w:hAnsi="宋体"/>
        </w:rPr>
        <w:t>—</w:t>
      </w:r>
      <w:r>
        <w:rPr>
          <w:rFonts w:hint="eastAsia" w:hAnsi="宋体"/>
        </w:rPr>
        <w:t>2015　</w:t>
      </w:r>
      <w:r>
        <w:rPr>
          <w:rFonts w:hint="eastAsia"/>
        </w:rPr>
        <w:t>电磁辐射在线监测系统的技术要求</w:t>
      </w:r>
    </w:p>
    <w:p>
      <w:pPr>
        <w:pStyle w:val="57"/>
        <w:ind w:firstLine="420"/>
        <w:rPr>
          <w:rFonts w:hint="eastAsia"/>
        </w:rPr>
      </w:pPr>
    </w:p>
    <w:p>
      <w:pPr>
        <w:pStyle w:val="57"/>
        <w:ind w:firstLine="420"/>
        <w:rPr>
          <w:rFonts w:hint="eastAsia"/>
        </w:rPr>
      </w:pPr>
    </w:p>
    <w:p>
      <w:pPr>
        <w:pStyle w:val="57"/>
        <w:ind w:firstLine="420"/>
        <w:rPr>
          <w:rFonts w:hint="eastAsia"/>
        </w:rPr>
      </w:pPr>
    </w:p>
    <w:p>
      <w:pPr>
        <w:pStyle w:val="57"/>
        <w:ind w:firstLine="0" w:firstLineChars="0"/>
        <w:jc w:val="center"/>
      </w:pPr>
      <w:r>
        <w:drawing>
          <wp:inline distT="0" distB="0" distL="0" distR="0">
            <wp:extent cx="1485900" cy="317500"/>
            <wp:effectExtent l="0" t="0" r="0" b="6350"/>
            <wp:docPr id="1605648153" name="图片 1"/>
            <wp:cNvGraphicFramePr/>
            <a:graphic xmlns:a="http://schemas.openxmlformats.org/drawingml/2006/main">
              <a:graphicData uri="http://schemas.openxmlformats.org/drawingml/2006/picture">
                <pic:pic xmlns:pic="http://schemas.openxmlformats.org/drawingml/2006/picture">
                  <pic:nvPicPr>
                    <pic:cNvPr id="1605648153" name="图片 1"/>
                    <pic:cNvPicPr/>
                  </pic:nvPicPr>
                  <pic:blipFill>
                    <a:blip r:embed="rId16"/>
                    <a:stretch>
                      <a:fillRect/>
                    </a:stretch>
                  </pic:blipFill>
                  <pic:spPr>
                    <a:xfrm>
                      <a:off x="0" y="0"/>
                      <a:ext cx="1485900" cy="317500"/>
                    </a:xfrm>
                    <a:prstGeom prst="rect">
                      <a:avLst/>
                    </a:prstGeom>
                  </pic:spPr>
                </pic:pic>
              </a:graphicData>
            </a:graphic>
          </wp:inline>
        </w:drawing>
      </w:r>
    </w:p>
    <w:p>
      <w:pPr>
        <w:pStyle w:val="57"/>
        <w:ind w:firstLine="420"/>
        <w:rPr>
          <w:rFonts w:hint="eastAsia"/>
        </w:rPr>
      </w:pP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T/GDRPA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T/GDRPA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ZGZhMTgzNjI0NmNmYzljODA2NmJlOGFkYmY5ZmIifQ=="/>
  </w:docVars>
  <w:rsids>
    <w:rsidRoot w:val="00634D9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9F8"/>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CF4"/>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08B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592"/>
    <w:rsid w:val="002C09E7"/>
    <w:rsid w:val="002C1E06"/>
    <w:rsid w:val="002C3F07"/>
    <w:rsid w:val="002C5278"/>
    <w:rsid w:val="002C7EBB"/>
    <w:rsid w:val="002D06C1"/>
    <w:rsid w:val="002D42B5"/>
    <w:rsid w:val="002D4F1A"/>
    <w:rsid w:val="002D6B48"/>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A5A"/>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0A70"/>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A40"/>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818"/>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D"/>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1DFD"/>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E1A"/>
    <w:rsid w:val="00815419"/>
    <w:rsid w:val="008163C8"/>
    <w:rsid w:val="008164A1"/>
    <w:rsid w:val="0081705B"/>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7BFE"/>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0E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6E6"/>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AC8"/>
    <w:rsid w:val="00E74C54"/>
    <w:rsid w:val="00E77A03"/>
    <w:rsid w:val="00E822E8"/>
    <w:rsid w:val="00E82554"/>
    <w:rsid w:val="00E82606"/>
    <w:rsid w:val="00E831C1"/>
    <w:rsid w:val="00E846C8"/>
    <w:rsid w:val="00E84957"/>
    <w:rsid w:val="00E84A55"/>
    <w:rsid w:val="00E85BFF"/>
    <w:rsid w:val="00E90391"/>
    <w:rsid w:val="00E906C2"/>
    <w:rsid w:val="00E91E1D"/>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227"/>
    <w:rsid w:val="00F833BA"/>
    <w:rsid w:val="00F84120"/>
    <w:rsid w:val="00F84FD0"/>
    <w:rsid w:val="00F859A8"/>
    <w:rsid w:val="00F86D87"/>
    <w:rsid w:val="00F9108B"/>
    <w:rsid w:val="00F91349"/>
    <w:rsid w:val="00F93A8A"/>
    <w:rsid w:val="00F95248"/>
    <w:rsid w:val="00F956A9"/>
    <w:rsid w:val="00F963ED"/>
    <w:rsid w:val="00F966CF"/>
    <w:rsid w:val="00F96CAE"/>
    <w:rsid w:val="00F9748E"/>
    <w:rsid w:val="00F97C99"/>
    <w:rsid w:val="00FA6088"/>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085511"/>
    <w:rsid w:val="03271B39"/>
    <w:rsid w:val="09444942"/>
    <w:rsid w:val="0D8D28F2"/>
    <w:rsid w:val="0DCD07F8"/>
    <w:rsid w:val="1A1D0C33"/>
    <w:rsid w:val="26F955B7"/>
    <w:rsid w:val="42126C2A"/>
    <w:rsid w:val="4CCA7D5C"/>
    <w:rsid w:val="58353CC3"/>
    <w:rsid w:val="790E0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autoRedefine/>
    <w:semiHidden/>
    <w:unhideWhenUsed/>
    <w:qFormat/>
    <w:uiPriority w:val="99"/>
    <w:pPr>
      <w:jc w:val="left"/>
    </w:pPr>
  </w:style>
  <w:style w:type="paragraph" w:styleId="14">
    <w:name w:val="Body Text"/>
    <w:basedOn w:val="1"/>
    <w:link w:val="8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b/>
      <w:bCs/>
      <w:kern w:val="44"/>
      <w:sz w:val="44"/>
      <w:szCs w:val="44"/>
    </w:rPr>
  </w:style>
  <w:style w:type="character" w:customStyle="1" w:styleId="36">
    <w:name w:val="标题 2 字符"/>
    <w:link w:val="3"/>
    <w:autoRedefine/>
    <w:qFormat/>
    <w:uiPriority w:val="0"/>
    <w:rPr>
      <w:rFonts w:ascii="Arial" w:hAnsi="Arial" w:eastAsia="黑体"/>
      <w:b/>
      <w:bCs/>
      <w:kern w:val="2"/>
      <w:sz w:val="32"/>
      <w:szCs w:val="32"/>
    </w:rPr>
  </w:style>
  <w:style w:type="character" w:customStyle="1" w:styleId="37">
    <w:name w:val="标题 3 字符"/>
    <w:link w:val="4"/>
    <w:autoRedefine/>
    <w:qFormat/>
    <w:uiPriority w:val="0"/>
    <w:rPr>
      <w:b/>
      <w:bCs/>
      <w:kern w:val="2"/>
      <w:sz w:val="32"/>
      <w:szCs w:val="32"/>
    </w:rPr>
  </w:style>
  <w:style w:type="character" w:customStyle="1" w:styleId="38">
    <w:name w:val="标题 4 字符"/>
    <w:link w:val="5"/>
    <w:autoRedefine/>
    <w:qFormat/>
    <w:uiPriority w:val="0"/>
    <w:rPr>
      <w:rFonts w:ascii="Arial" w:hAnsi="Arial" w:eastAsia="黑体"/>
      <w:b/>
      <w:bCs/>
      <w:kern w:val="2"/>
      <w:sz w:val="28"/>
      <w:szCs w:val="28"/>
    </w:rPr>
  </w:style>
  <w:style w:type="character" w:customStyle="1" w:styleId="39">
    <w:name w:val="标题 5 字符"/>
    <w:link w:val="6"/>
    <w:autoRedefine/>
    <w:qFormat/>
    <w:uiPriority w:val="0"/>
    <w:rPr>
      <w:b/>
      <w:bCs/>
      <w:kern w:val="2"/>
      <w:sz w:val="28"/>
      <w:szCs w:val="28"/>
    </w:rPr>
  </w:style>
  <w:style w:type="character" w:customStyle="1" w:styleId="40">
    <w:name w:val="标题 6 字符"/>
    <w:link w:val="7"/>
    <w:autoRedefine/>
    <w:qFormat/>
    <w:uiPriority w:val="0"/>
    <w:rPr>
      <w:rFonts w:ascii="Arial" w:hAnsi="Arial" w:eastAsia="黑体"/>
      <w:b/>
      <w:bCs/>
      <w:kern w:val="2"/>
      <w:sz w:val="24"/>
      <w:szCs w:val="24"/>
    </w:rPr>
  </w:style>
  <w:style w:type="character" w:customStyle="1" w:styleId="41">
    <w:name w:val="标题 7 字符"/>
    <w:link w:val="8"/>
    <w:autoRedefine/>
    <w:qFormat/>
    <w:uiPriority w:val="0"/>
    <w:rPr>
      <w:b/>
      <w:bCs/>
      <w:kern w:val="2"/>
      <w:sz w:val="24"/>
      <w:szCs w:val="24"/>
    </w:rPr>
  </w:style>
  <w:style w:type="character" w:customStyle="1" w:styleId="42">
    <w:name w:val="标题 8 字符"/>
    <w:link w:val="9"/>
    <w:autoRedefine/>
    <w:qFormat/>
    <w:uiPriority w:val="0"/>
    <w:rPr>
      <w:rFonts w:ascii="Arial" w:hAnsi="Arial" w:eastAsia="黑体"/>
      <w:kern w:val="2"/>
      <w:sz w:val="24"/>
      <w:szCs w:val="24"/>
    </w:rPr>
  </w:style>
  <w:style w:type="character" w:customStyle="1" w:styleId="43">
    <w:name w:val="标题 9 字符"/>
    <w:link w:val="10"/>
    <w:autoRedefine/>
    <w:qFormat/>
    <w:uiPriority w:val="0"/>
    <w:rPr>
      <w:rFonts w:ascii="Arial" w:hAnsi="Arial" w:eastAsia="黑体"/>
      <w:kern w:val="2"/>
      <w:sz w:val="21"/>
      <w:szCs w:val="21"/>
    </w:rPr>
  </w:style>
  <w:style w:type="character" w:customStyle="1" w:styleId="44">
    <w:name w:val="页眉 字符"/>
    <w:link w:val="19"/>
    <w:autoRedefine/>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kern w:val="2"/>
      <w:sz w:val="21"/>
      <w:szCs w:val="21"/>
    </w:rPr>
  </w:style>
  <w:style w:type="character" w:customStyle="1" w:styleId="49">
    <w:name w:val="标题 字符"/>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Subtle Reference"/>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autoRedefine/>
    <w:semiHidden/>
    <w:qFormat/>
    <w:uiPriority w:val="0"/>
    <w:rPr>
      <w:rFonts w:ascii="宋体"/>
      <w:kern w:val="2"/>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customStyle="1" w:styleId="231">
    <w:name w:val="段"/>
    <w:link w:val="232"/>
    <w:autoRedefine/>
    <w:qFormat/>
    <w:uiPriority w:val="0"/>
    <w:pPr>
      <w:tabs>
        <w:tab w:val="center" w:pos="4201"/>
        <w:tab w:val="right" w:leader="dot" w:pos="9298"/>
      </w:tabs>
      <w:autoSpaceDE w:val="0"/>
      <w:autoSpaceDN w:val="0"/>
      <w:ind w:firstLine="420" w:firstLineChars="200"/>
      <w:jc w:val="both"/>
    </w:pPr>
    <w:rPr>
      <w:rFonts w:ascii="黑体" w:hAnsi="黑体" w:eastAsia="黑体" w:cs="Times New Roman"/>
      <w:kern w:val="2"/>
      <w:sz w:val="21"/>
      <w:lang w:val="en-US" w:eastAsia="zh-CN" w:bidi="ar-SA"/>
    </w:rPr>
  </w:style>
  <w:style w:type="character" w:customStyle="1" w:styleId="232">
    <w:name w:val="段 Char"/>
    <w:link w:val="231"/>
    <w:autoRedefine/>
    <w:qFormat/>
    <w:uiPriority w:val="0"/>
    <w:rPr>
      <w:rFonts w:ascii="黑体" w:hAnsi="黑体" w:eastAsia="黑体"/>
      <w:kern w:val="2"/>
      <w:sz w:val="21"/>
    </w:rPr>
  </w:style>
  <w:style w:type="paragraph" w:customStyle="1" w:styleId="233">
    <w:name w:val="Table Text"/>
    <w:basedOn w:val="1"/>
    <w:autoRedefine/>
    <w:semiHidden/>
    <w:qFormat/>
    <w:uiPriority w:val="0"/>
    <w:pPr>
      <w:adjustRightInd/>
      <w:spacing w:line="360" w:lineRule="auto"/>
      <w:ind w:firstLine="420" w:firstLineChars="200"/>
    </w:pPr>
    <w:rPr>
      <w:rFonts w:ascii="宋体" w:hAnsi="宋体" w:cs="宋体"/>
      <w:sz w:val="18"/>
      <w:szCs w:val="18"/>
    </w:rPr>
  </w:style>
  <w:style w:type="paragraph" w:styleId="234">
    <w:name w:val="List Paragraph"/>
    <w:basedOn w:val="1"/>
    <w:autoRedefine/>
    <w:unhideWhenUsed/>
    <w:qFormat/>
    <w:uiPriority w:val="99"/>
    <w:pPr>
      <w:adjustRightInd/>
      <w:spacing w:line="240" w:lineRule="auto"/>
      <w:ind w:firstLine="420" w:firstLineChars="200"/>
    </w:pPr>
    <w:rPr>
      <w:rFonts w:ascii="Times New Roman" w:hAnsi="Times New Roman"/>
      <w:szCs w:val="24"/>
    </w:rPr>
  </w:style>
  <w:style w:type="paragraph" w:customStyle="1" w:styleId="235">
    <w:name w:val="列表段落1"/>
    <w:basedOn w:val="1"/>
    <w:autoRedefine/>
    <w:semiHidden/>
    <w:qFormat/>
    <w:uiPriority w:val="0"/>
    <w:pPr>
      <w:widowControl/>
      <w:adjustRightInd/>
      <w:spacing w:line="240" w:lineRule="auto"/>
      <w:jc w:val="center"/>
      <w:textAlignment w:val="top"/>
    </w:pPr>
    <w:rPr>
      <w:rFonts w:ascii="宋体" w:hAns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B5EDE6E297F4D4491B709AE8B8F8CB6"/>
        <w:style w:val=""/>
        <w:category>
          <w:name w:val="常规"/>
          <w:gallery w:val="placeholder"/>
        </w:category>
        <w:types>
          <w:type w:val="bbPlcHdr"/>
        </w:types>
        <w:behaviors>
          <w:behavior w:val="content"/>
        </w:behaviors>
        <w:description w:val=""/>
        <w:guid w:val="{5D232F99-E48B-4AD3-99FF-E5384B2E016E}"/>
      </w:docPartPr>
      <w:docPartBody>
        <w:p>
          <w:pPr>
            <w:pStyle w:val="5"/>
          </w:pPr>
          <w:r>
            <w:rPr>
              <w:rStyle w:val="4"/>
              <w:rFonts w:hint="eastAsia"/>
            </w:rPr>
            <w:t>单击或点击此处输入文字。</w:t>
          </w:r>
        </w:p>
      </w:docPartBody>
    </w:docPart>
    <w:docPart>
      <w:docPartPr>
        <w:name w:val="0E25C92EA4814643895EE6B90A87439D"/>
        <w:style w:val=""/>
        <w:category>
          <w:name w:val="常规"/>
          <w:gallery w:val="placeholder"/>
        </w:category>
        <w:types>
          <w:type w:val="bbPlcHdr"/>
        </w:types>
        <w:behaviors>
          <w:behavior w:val="content"/>
        </w:behaviors>
        <w:description w:val=""/>
        <w:guid w:val="{54099C63-3F62-46C2-8DD6-EA4A15B40AEF}"/>
      </w:docPartPr>
      <w:docPartBody>
        <w:p>
          <w:pPr>
            <w:pStyle w:val="6"/>
          </w:pPr>
          <w:r>
            <w:rPr>
              <w:rStyle w:val="4"/>
              <w:rFonts w:hint="eastAsia"/>
            </w:rPr>
            <w:t>选择一项。</w:t>
          </w:r>
        </w:p>
      </w:docPartBody>
    </w:docPart>
    <w:docPart>
      <w:docPartPr>
        <w:name w:val="B05B095F9F2340F9B561446B1C879424"/>
        <w:style w:val=""/>
        <w:category>
          <w:name w:val="常规"/>
          <w:gallery w:val="placeholder"/>
        </w:category>
        <w:types>
          <w:type w:val="bbPlcHdr"/>
        </w:types>
        <w:behaviors>
          <w:behavior w:val="content"/>
        </w:behaviors>
        <w:description w:val=""/>
        <w:guid w:val="{DA073345-3AFA-453B-A327-2EB28D8B09D8}"/>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AA"/>
    <w:rsid w:val="00156CAA"/>
    <w:rsid w:val="00220800"/>
    <w:rsid w:val="00266B69"/>
    <w:rsid w:val="002D5FBC"/>
    <w:rsid w:val="00FB2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B5EDE6E297F4D4491B709AE8B8F8CB6"/>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0E25C92EA4814643895EE6B90A87439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B05B095F9F2340F9B561446B1C879424"/>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5918</Words>
  <Characters>7026</Characters>
  <Lines>58</Lines>
  <Paragraphs>16</Paragraphs>
  <TotalTime>6</TotalTime>
  <ScaleCrop>false</ScaleCrop>
  <LinksUpToDate>false</LinksUpToDate>
  <CharactersWithSpaces>7146</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2024-05-06T02:48:00Z</dcterms:created>
  <dc:creator>d</dc:creator>
  <dc:description>&lt;config cover="true" show_menu="true" version="1.0.0" doctype="SDKXY"&gt;_x000d_
&lt;/config&gt;</dc:description>
  <cp:lastModifiedBy>残葉</cp:lastModifiedBy>
  <cp:lastPrinted>2021-02-02T08:22:00Z</cp:lastPrinted>
  <dcterms:modified xsi:type="dcterms:W3CDTF">2024-05-13T01:22:45Z</dcterms:modified>
  <dc:title>团体标准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2052-12.1.0.16910</vt:lpwstr>
  </property>
  <property fmtid="{D5CDD505-2E9C-101B-9397-08002B2CF9AE}" pid="15" name="ICV">
    <vt:lpwstr>5B426A79BDB94100A899F500759A0777_13</vt:lpwstr>
  </property>
</Properties>
</file>