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360" w:lineRule="auto"/>
        <w:ind w:firstLine="482" w:firstLineChars="200"/>
        <w:jc w:val="center"/>
        <w:rPr>
          <w:rFonts w:ascii="Times New Roman" w:hAnsi="Times New Roman" w:eastAsia="宋体" w:cs="Times New Roman"/>
          <w:b/>
          <w:bCs/>
          <w:sz w:val="24"/>
          <w:szCs w:val="24"/>
        </w:rPr>
      </w:pPr>
    </w:p>
    <w:p>
      <w:pPr>
        <w:adjustRightInd w:val="0"/>
        <w:snapToGrid w:val="0"/>
        <w:spacing w:line="360" w:lineRule="auto"/>
        <w:ind w:firstLine="480" w:firstLineChars="200"/>
        <w:jc w:val="center"/>
        <w:rPr>
          <w:rFonts w:ascii="Times New Roman" w:hAnsi="Times New Roman" w:eastAsia="宋体" w:cs="Times New Roman"/>
          <w:sz w:val="24"/>
          <w:szCs w:val="24"/>
        </w:rPr>
      </w:pPr>
    </w:p>
    <w:p>
      <w:pPr>
        <w:adjustRightInd w:val="0"/>
        <w:snapToGrid w:val="0"/>
        <w:spacing w:line="360" w:lineRule="auto"/>
        <w:ind w:firstLine="480" w:firstLineChars="200"/>
        <w:jc w:val="center"/>
        <w:rPr>
          <w:rFonts w:ascii="Times New Roman" w:hAnsi="Times New Roman" w:eastAsia="宋体" w:cs="Times New Roman"/>
          <w:sz w:val="24"/>
          <w:szCs w:val="24"/>
        </w:rPr>
      </w:pPr>
    </w:p>
    <w:p>
      <w:pPr>
        <w:adjustRightInd w:val="0"/>
        <w:snapToGrid w:val="0"/>
        <w:spacing w:line="360" w:lineRule="auto"/>
        <w:jc w:val="center"/>
        <w:rPr>
          <w:rFonts w:ascii="Times New Roman" w:hAnsi="Times New Roman" w:eastAsia="宋体" w:cs="Times New Roman"/>
          <w:sz w:val="24"/>
          <w:szCs w:val="24"/>
        </w:rPr>
      </w:pPr>
    </w:p>
    <w:p>
      <w:pPr>
        <w:adjustRightInd w:val="0"/>
        <w:snapToGrid w:val="0"/>
        <w:spacing w:line="360" w:lineRule="auto"/>
        <w:jc w:val="center"/>
        <w:rPr>
          <w:rFonts w:ascii="Times New Roman" w:hAnsi="Times New Roman" w:eastAsia="宋体" w:cs="Times New Roman"/>
          <w:sz w:val="24"/>
          <w:szCs w:val="24"/>
        </w:rPr>
      </w:pPr>
    </w:p>
    <w:p>
      <w:pPr>
        <w:adjustRightInd w:val="0"/>
        <w:snapToGrid w:val="0"/>
        <w:spacing w:line="360" w:lineRule="auto"/>
        <w:jc w:val="center"/>
        <w:rPr>
          <w:rFonts w:ascii="Times New Roman" w:hAnsi="Times New Roman" w:eastAsia="宋体" w:cs="Times New Roman"/>
          <w:sz w:val="24"/>
          <w:szCs w:val="24"/>
        </w:rPr>
      </w:pPr>
    </w:p>
    <w:p>
      <w:pPr>
        <w:adjustRightInd w:val="0"/>
        <w:snapToGrid w:val="0"/>
        <w:spacing w:line="360" w:lineRule="auto"/>
        <w:jc w:val="center"/>
        <w:rPr>
          <w:rFonts w:ascii="Times New Roman" w:hAnsi="Times New Roman" w:eastAsia="宋体" w:cs="Times New Roman"/>
          <w:sz w:val="24"/>
          <w:szCs w:val="24"/>
        </w:rPr>
      </w:pPr>
    </w:p>
    <w:p>
      <w:pPr>
        <w:adjustRightInd w:val="0"/>
        <w:snapToGrid w:val="0"/>
        <w:spacing w:line="360" w:lineRule="auto"/>
        <w:jc w:val="center"/>
        <w:rPr>
          <w:rFonts w:ascii="Times New Roman" w:hAnsi="Times New Roman" w:eastAsia="宋体" w:cs="Times New Roman"/>
          <w:sz w:val="24"/>
          <w:szCs w:val="24"/>
        </w:rPr>
      </w:pPr>
    </w:p>
    <w:p>
      <w:pPr>
        <w:adjustRightInd w:val="0"/>
        <w:snapToGrid w:val="0"/>
        <w:spacing w:line="360" w:lineRule="auto"/>
        <w:jc w:val="center"/>
        <w:rPr>
          <w:rFonts w:ascii="Times New Roman" w:hAnsi="Times New Roman" w:eastAsia="宋体" w:cs="Times New Roman"/>
          <w:b/>
          <w:sz w:val="44"/>
          <w:szCs w:val="44"/>
        </w:rPr>
      </w:pPr>
      <w:r>
        <w:rPr>
          <w:rFonts w:ascii="Times New Roman" w:hAnsi="Times New Roman" w:eastAsia="宋体" w:cs="Times New Roman"/>
          <w:b/>
          <w:sz w:val="44"/>
          <w:szCs w:val="44"/>
        </w:rPr>
        <w:t>电磁辐射环境自动监测技术规范</w:t>
      </w:r>
    </w:p>
    <w:p>
      <w:pPr>
        <w:adjustRightInd w:val="0"/>
        <w:snapToGrid w:val="0"/>
        <w:spacing w:line="360" w:lineRule="auto"/>
        <w:jc w:val="center"/>
        <w:rPr>
          <w:rFonts w:ascii="Times New Roman" w:hAnsi="Times New Roman" w:eastAsia="宋体" w:cs="Times New Roman"/>
          <w:b/>
          <w:sz w:val="44"/>
          <w:szCs w:val="44"/>
        </w:rPr>
      </w:pPr>
      <w:r>
        <w:rPr>
          <w:rFonts w:ascii="Times New Roman" w:hAnsi="Times New Roman" w:eastAsia="宋体" w:cs="Times New Roman"/>
          <w:b/>
          <w:sz w:val="44"/>
          <w:szCs w:val="44"/>
        </w:rPr>
        <w:t>编制说明</w:t>
      </w:r>
    </w:p>
    <w:p>
      <w:pPr>
        <w:adjustRightInd w:val="0"/>
        <w:snapToGrid w:val="0"/>
        <w:spacing w:line="360" w:lineRule="auto"/>
        <w:jc w:val="center"/>
        <w:rPr>
          <w:rFonts w:ascii="Times New Roman" w:hAnsi="Times New Roman" w:eastAsia="宋体" w:cs="Times New Roman"/>
          <w:b/>
          <w:sz w:val="44"/>
          <w:szCs w:val="44"/>
        </w:rPr>
      </w:pPr>
    </w:p>
    <w:p>
      <w:pPr>
        <w:adjustRightInd w:val="0"/>
        <w:snapToGrid w:val="0"/>
        <w:spacing w:line="360" w:lineRule="auto"/>
        <w:jc w:val="center"/>
        <w:rPr>
          <w:rFonts w:ascii="Times New Roman" w:hAnsi="Times New Roman" w:eastAsia="宋体" w:cs="Times New Roman"/>
          <w:b/>
          <w:sz w:val="36"/>
          <w:szCs w:val="36"/>
        </w:rPr>
      </w:pPr>
      <w:r>
        <w:rPr>
          <w:rFonts w:ascii="Times New Roman" w:hAnsi="Times New Roman" w:eastAsia="宋体" w:cs="Times New Roman"/>
          <w:b/>
          <w:sz w:val="36"/>
          <w:szCs w:val="36"/>
        </w:rPr>
        <w:t>（</w:t>
      </w:r>
      <w:r>
        <w:rPr>
          <w:rFonts w:hint="eastAsia" w:ascii="Times New Roman" w:hAnsi="Times New Roman" w:eastAsia="宋体" w:cs="Times New Roman"/>
          <w:b/>
          <w:sz w:val="36"/>
          <w:szCs w:val="36"/>
        </w:rPr>
        <w:t>征求意见稿</w:t>
      </w:r>
      <w:r>
        <w:rPr>
          <w:rFonts w:ascii="Times New Roman" w:hAnsi="Times New Roman" w:eastAsia="宋体" w:cs="Times New Roman"/>
          <w:b/>
          <w:sz w:val="36"/>
          <w:szCs w:val="36"/>
        </w:rPr>
        <w:t>）</w:t>
      </w: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24"/>
          <w:szCs w:val="24"/>
        </w:rPr>
      </w:pPr>
    </w:p>
    <w:p>
      <w:pPr>
        <w:adjustRightInd w:val="0"/>
        <w:snapToGrid w:val="0"/>
        <w:spacing w:line="360" w:lineRule="auto"/>
        <w:jc w:val="center"/>
        <w:rPr>
          <w:rFonts w:ascii="Times New Roman" w:hAnsi="Times New Roman" w:eastAsia="宋体" w:cs="Times New Roman"/>
          <w:b/>
          <w:sz w:val="32"/>
          <w:szCs w:val="32"/>
        </w:rPr>
      </w:pPr>
      <w:r>
        <w:rPr>
          <w:rFonts w:ascii="Times New Roman" w:hAnsi="Times New Roman" w:eastAsia="宋体" w:cs="Times New Roman"/>
          <w:b/>
          <w:sz w:val="32"/>
          <w:szCs w:val="32"/>
        </w:rPr>
        <w:t>《电磁辐射环境自动监测技术规范》编制组</w:t>
      </w:r>
    </w:p>
    <w:p>
      <w:pPr>
        <w:adjustRightInd w:val="0"/>
        <w:snapToGrid w:val="0"/>
        <w:spacing w:line="360" w:lineRule="auto"/>
        <w:jc w:val="center"/>
        <w:rPr>
          <w:rFonts w:ascii="黑体" w:hAnsi="黑体" w:eastAsia="黑体" w:cs="Times New Roman"/>
          <w:sz w:val="32"/>
          <w:szCs w:val="32"/>
        </w:rPr>
        <w:sectPr>
          <w:footerReference r:id="rId3" w:type="default"/>
          <w:pgSz w:w="11906" w:h="16838"/>
          <w:pgMar w:top="1440" w:right="1800" w:bottom="1440" w:left="1800" w:header="851" w:footer="992" w:gutter="0"/>
          <w:pgNumType w:fmt="upperRoman" w:start="1"/>
          <w:cols w:space="425" w:num="1"/>
          <w:docGrid w:type="lines" w:linePitch="312" w:charSpace="0"/>
        </w:sectPr>
      </w:pPr>
      <w:r>
        <w:rPr>
          <w:rFonts w:hint="eastAsia" w:ascii="黑体" w:hAnsi="黑体" w:eastAsia="黑体" w:cs="Times New Roman"/>
          <w:sz w:val="32"/>
          <w:szCs w:val="32"/>
        </w:rPr>
        <w:t>202</w:t>
      </w:r>
      <w:r>
        <w:rPr>
          <w:rFonts w:hint="eastAsia" w:ascii="黑体" w:hAnsi="黑体" w:eastAsia="黑体" w:cs="Times New Roman"/>
          <w:sz w:val="32"/>
          <w:szCs w:val="32"/>
          <w:lang w:val="en-US" w:eastAsia="zh-CN"/>
        </w:rPr>
        <w:t>4</w:t>
      </w:r>
      <w:r>
        <w:rPr>
          <w:rFonts w:ascii="黑体" w:hAnsi="黑体" w:eastAsia="黑体" w:cs="Times New Roman"/>
          <w:sz w:val="32"/>
          <w:szCs w:val="32"/>
        </w:rPr>
        <w:t>年</w:t>
      </w:r>
      <w:r>
        <w:rPr>
          <w:rFonts w:hint="eastAsia" w:ascii="黑体" w:hAnsi="黑体" w:eastAsia="黑体" w:cs="Times New Roman"/>
          <w:sz w:val="32"/>
          <w:szCs w:val="32"/>
          <w:lang w:val="en-US" w:eastAsia="zh-CN"/>
        </w:rPr>
        <w:t>4</w:t>
      </w:r>
      <w:r>
        <w:rPr>
          <w:rFonts w:ascii="黑体" w:hAnsi="黑体" w:eastAsia="黑体" w:cs="Times New Roman"/>
          <w:sz w:val="32"/>
          <w:szCs w:val="32"/>
        </w:rPr>
        <w:t>月</w:t>
      </w:r>
      <w:bookmarkStart w:id="52" w:name="_GoBack"/>
      <w:bookmarkEnd w:id="52"/>
    </w:p>
    <w:sdt>
      <w:sdtPr>
        <w:rPr>
          <w:rFonts w:hint="eastAsia" w:ascii="黑体" w:hAnsi="黑体" w:eastAsia="黑体" w:cs="黑体"/>
          <w:b w:val="0"/>
          <w:bCs w:val="0"/>
          <w:color w:val="auto"/>
          <w:kern w:val="2"/>
          <w:sz w:val="32"/>
          <w:szCs w:val="32"/>
          <w:lang w:val="zh-CN"/>
        </w:rPr>
        <w:id w:val="535859332"/>
        <w:docPartObj>
          <w:docPartGallery w:val="Table of Contents"/>
          <w:docPartUnique/>
        </w:docPartObj>
      </w:sdtPr>
      <w:sdtEndPr>
        <w:rPr>
          <w:rFonts w:hint="eastAsia" w:ascii="Times New Roman" w:hAnsi="Times New Roman" w:eastAsia="宋体" w:cs="Times New Roman"/>
          <w:b w:val="0"/>
          <w:bCs w:val="0"/>
          <w:color w:val="auto"/>
          <w:kern w:val="2"/>
          <w:sz w:val="21"/>
          <w:szCs w:val="21"/>
          <w:lang w:val="en-US"/>
        </w:rPr>
      </w:sdtEndPr>
      <w:sdtContent>
        <w:p>
          <w:pPr>
            <w:spacing w:before="0" w:beforeLines="0" w:after="0" w:afterLines="0" w:line="240" w:lineRule="auto"/>
            <w:ind w:left="0" w:leftChars="0" w:right="0" w:rightChars="0" w:firstLine="0" w:firstLineChars="0"/>
            <w:jc w:val="center"/>
            <w:rPr>
              <w:rFonts w:hint="eastAsia" w:ascii="黑体" w:hAnsi="黑体" w:eastAsia="黑体" w:cs="黑体"/>
              <w:sz w:val="32"/>
              <w:szCs w:val="32"/>
            </w:rPr>
          </w:pPr>
          <w:r>
            <w:rPr>
              <w:rFonts w:hint="eastAsia" w:ascii="黑体" w:hAnsi="黑体" w:eastAsia="黑体" w:cs="黑体"/>
              <w:sz w:val="32"/>
              <w:szCs w:val="32"/>
            </w:rPr>
            <w:t>目</w:t>
          </w:r>
          <w:r>
            <w:rPr>
              <w:rFonts w:hint="eastAsia" w:ascii="黑体" w:hAnsi="黑体" w:eastAsia="黑体" w:cs="黑体"/>
              <w:sz w:val="32"/>
              <w:szCs w:val="32"/>
              <w:lang w:val="en-US" w:eastAsia="zh-CN"/>
            </w:rPr>
            <w:t xml:space="preserve"> </w:t>
          </w:r>
          <w:r>
            <w:rPr>
              <w:rFonts w:hint="eastAsia" w:ascii="黑体" w:hAnsi="黑体" w:eastAsia="黑体" w:cs="黑体"/>
              <w:sz w:val="32"/>
              <w:szCs w:val="32"/>
            </w:rPr>
            <w:t>录</w:t>
          </w:r>
        </w:p>
        <w:p>
          <w:pPr>
            <w:pStyle w:val="11"/>
            <w:tabs>
              <w:tab w:val="right" w:leader="dot" w:pos="8306"/>
            </w:tabs>
          </w:pPr>
          <w:r>
            <w:rPr>
              <w:rFonts w:ascii="Times New Roman" w:hAnsi="Times New Roman" w:eastAsia="宋体"/>
              <w:sz w:val="21"/>
              <w:szCs w:val="21"/>
            </w:rPr>
            <w:fldChar w:fldCharType="begin"/>
          </w:r>
          <w:r>
            <w:rPr>
              <w:rFonts w:ascii="Times New Roman" w:hAnsi="Times New Roman" w:eastAsia="宋体"/>
              <w:sz w:val="21"/>
              <w:szCs w:val="21"/>
            </w:rPr>
            <w:instrText xml:space="preserve"> TOC \o "1-3" \h \z \u </w:instrText>
          </w:r>
          <w:r>
            <w:rPr>
              <w:rFonts w:ascii="Times New Roman" w:hAnsi="Times New Roman" w:eastAsia="宋体"/>
              <w:sz w:val="21"/>
              <w:szCs w:val="21"/>
            </w:rPr>
            <w:fldChar w:fldCharType="separate"/>
          </w:r>
          <w:r>
            <w:rPr>
              <w:rFonts w:ascii="Times New Roman" w:hAnsi="Times New Roman" w:eastAsia="宋体"/>
              <w:szCs w:val="21"/>
            </w:rPr>
            <w:fldChar w:fldCharType="begin"/>
          </w:r>
          <w:r>
            <w:rPr>
              <w:rFonts w:ascii="Times New Roman" w:hAnsi="Times New Roman" w:eastAsia="宋体"/>
              <w:szCs w:val="21"/>
            </w:rPr>
            <w:instrText xml:space="preserve"> HYPERLINK \l _Toc25413 </w:instrText>
          </w:r>
          <w:r>
            <w:rPr>
              <w:rFonts w:ascii="Times New Roman" w:hAnsi="Times New Roman" w:eastAsia="宋体"/>
              <w:szCs w:val="21"/>
            </w:rPr>
            <w:fldChar w:fldCharType="separate"/>
          </w:r>
          <w:r>
            <w:rPr>
              <w:rFonts w:ascii="黑体" w:hAnsi="黑体" w:eastAsia="黑体"/>
              <w:szCs w:val="28"/>
              <w:lang w:val="zh-CN"/>
            </w:rPr>
            <w:t>1项目背景</w:t>
          </w:r>
          <w:r>
            <w:tab/>
          </w:r>
          <w:r>
            <w:fldChar w:fldCharType="begin"/>
          </w:r>
          <w:r>
            <w:instrText xml:space="preserve"> PAGEREF _Toc25413 \h </w:instrText>
          </w:r>
          <w:r>
            <w:fldChar w:fldCharType="separate"/>
          </w:r>
          <w:r>
            <w:t>1</w:t>
          </w:r>
          <w:r>
            <w:fldChar w:fldCharType="end"/>
          </w:r>
          <w:r>
            <w:rPr>
              <w:rFonts w:ascii="Times New Roman" w:hAnsi="Times New Roman" w:eastAsia="宋体"/>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_Toc23999 </w:instrText>
          </w:r>
          <w:r>
            <w:rPr>
              <w:rFonts w:ascii="Times New Roman" w:hAnsi="Times New Roman" w:eastAsia="宋体" w:cs="Times New Roman"/>
              <w:szCs w:val="21"/>
            </w:rPr>
            <w:fldChar w:fldCharType="separate"/>
          </w:r>
          <w:r>
            <w:rPr>
              <w:rFonts w:hint="eastAsia" w:ascii="黑体" w:hAnsi="黑体" w:eastAsia="黑体" w:cs="Times New Roman"/>
              <w:szCs w:val="24"/>
            </w:rPr>
            <w:t>1.1标准制订的必要性</w:t>
          </w:r>
          <w:r>
            <w:tab/>
          </w:r>
          <w:r>
            <w:fldChar w:fldCharType="begin"/>
          </w:r>
          <w:r>
            <w:instrText xml:space="preserve"> PAGEREF _Toc23999 \h </w:instrText>
          </w:r>
          <w:r>
            <w:fldChar w:fldCharType="separate"/>
          </w:r>
          <w:r>
            <w:t>1</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_Toc13935 </w:instrText>
          </w:r>
          <w:r>
            <w:rPr>
              <w:rFonts w:ascii="Times New Roman" w:hAnsi="Times New Roman" w:eastAsia="宋体" w:cs="Times New Roman"/>
              <w:szCs w:val="21"/>
            </w:rPr>
            <w:fldChar w:fldCharType="separate"/>
          </w:r>
          <w:r>
            <w:rPr>
              <w:rFonts w:hint="eastAsia" w:ascii="黑体" w:hAnsi="黑体" w:eastAsia="黑体" w:cs="Times New Roman"/>
              <w:szCs w:val="24"/>
            </w:rPr>
            <w:t>1.2标准制订的可行性</w:t>
          </w:r>
          <w:r>
            <w:tab/>
          </w:r>
          <w:r>
            <w:fldChar w:fldCharType="begin"/>
          </w:r>
          <w:r>
            <w:instrText xml:space="preserve"> PAGEREF _Toc13935 \h </w:instrText>
          </w:r>
          <w:r>
            <w:fldChar w:fldCharType="separate"/>
          </w:r>
          <w:r>
            <w:t>1</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_Toc24819 </w:instrText>
          </w:r>
          <w:r>
            <w:rPr>
              <w:rFonts w:ascii="Times New Roman" w:hAnsi="Times New Roman" w:eastAsia="宋体" w:cs="Times New Roman"/>
              <w:szCs w:val="21"/>
            </w:rPr>
            <w:fldChar w:fldCharType="separate"/>
          </w:r>
          <w:r>
            <w:rPr>
              <w:rFonts w:hint="eastAsia" w:ascii="黑体" w:hAnsi="黑体" w:eastAsia="黑体"/>
              <w:szCs w:val="28"/>
            </w:rPr>
            <w:t>2  工作简况</w:t>
          </w:r>
          <w:r>
            <w:tab/>
          </w:r>
          <w:r>
            <w:fldChar w:fldCharType="begin"/>
          </w:r>
          <w:r>
            <w:instrText xml:space="preserve"> PAGEREF _Toc24819 \h </w:instrText>
          </w:r>
          <w:r>
            <w:fldChar w:fldCharType="separate"/>
          </w:r>
          <w:r>
            <w:t>3</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_Toc23769 </w:instrText>
          </w:r>
          <w:r>
            <w:rPr>
              <w:rFonts w:ascii="Times New Roman" w:hAnsi="Times New Roman" w:eastAsia="宋体" w:cs="Times New Roman"/>
              <w:szCs w:val="21"/>
            </w:rPr>
            <w:fldChar w:fldCharType="separate"/>
          </w:r>
          <w:r>
            <w:rPr>
              <w:rFonts w:hint="eastAsia" w:ascii="黑体" w:hAnsi="黑体" w:eastAsia="黑体"/>
            </w:rPr>
            <w:t>2.1  编制单位</w:t>
          </w:r>
          <w:r>
            <w:tab/>
          </w:r>
          <w:r>
            <w:fldChar w:fldCharType="begin"/>
          </w:r>
          <w:r>
            <w:instrText xml:space="preserve"> PAGEREF _Toc23769 \h </w:instrText>
          </w:r>
          <w:r>
            <w:fldChar w:fldCharType="separate"/>
          </w:r>
          <w:r>
            <w:t>3</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_Toc27456 </w:instrText>
          </w:r>
          <w:r>
            <w:rPr>
              <w:rFonts w:ascii="Times New Roman" w:hAnsi="Times New Roman" w:eastAsia="宋体" w:cs="Times New Roman"/>
              <w:szCs w:val="21"/>
            </w:rPr>
            <w:fldChar w:fldCharType="separate"/>
          </w:r>
          <w:r>
            <w:rPr>
              <w:rFonts w:hint="eastAsia" w:ascii="黑体" w:hAnsi="黑体" w:eastAsia="黑体"/>
            </w:rPr>
            <w:t>2.2  主要工作过程</w:t>
          </w:r>
          <w:r>
            <w:tab/>
          </w:r>
          <w:r>
            <w:fldChar w:fldCharType="begin"/>
          </w:r>
          <w:r>
            <w:instrText xml:space="preserve"> PAGEREF _Toc27456 \h </w:instrText>
          </w:r>
          <w:r>
            <w:fldChar w:fldCharType="separate"/>
          </w:r>
          <w:r>
            <w:t>3</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_Toc7281 </w:instrText>
          </w:r>
          <w:r>
            <w:rPr>
              <w:rFonts w:ascii="Times New Roman" w:hAnsi="Times New Roman" w:eastAsia="宋体" w:cs="Times New Roman"/>
              <w:szCs w:val="21"/>
            </w:rPr>
            <w:fldChar w:fldCharType="separate"/>
          </w:r>
          <w:r>
            <w:rPr>
              <w:rFonts w:hint="eastAsia" w:ascii="黑体" w:hAnsi="黑体" w:eastAsia="黑体"/>
            </w:rPr>
            <w:t>2.3  主要起草人及其所做的工作</w:t>
          </w:r>
          <w:r>
            <w:tab/>
          </w:r>
          <w:r>
            <w:fldChar w:fldCharType="begin"/>
          </w:r>
          <w:r>
            <w:instrText xml:space="preserve"> PAGEREF _Toc7281 \h </w:instrText>
          </w:r>
          <w:r>
            <w:fldChar w:fldCharType="separate"/>
          </w:r>
          <w:r>
            <w:t>3</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_Toc2976 </w:instrText>
          </w:r>
          <w:r>
            <w:rPr>
              <w:rFonts w:ascii="Times New Roman" w:hAnsi="Times New Roman" w:eastAsia="宋体" w:cs="Times New Roman"/>
              <w:szCs w:val="21"/>
            </w:rPr>
            <w:fldChar w:fldCharType="separate"/>
          </w:r>
          <w:r>
            <w:rPr>
              <w:rFonts w:hint="eastAsia" w:ascii="黑体" w:hAnsi="黑体" w:eastAsia="黑体"/>
              <w:szCs w:val="28"/>
            </w:rPr>
            <w:t>3  标准制订的基本原则、技术路线和主要内容</w:t>
          </w:r>
          <w:r>
            <w:tab/>
          </w:r>
          <w:r>
            <w:fldChar w:fldCharType="begin"/>
          </w:r>
          <w:r>
            <w:instrText xml:space="preserve"> PAGEREF _Toc2976 \h </w:instrText>
          </w:r>
          <w:r>
            <w:fldChar w:fldCharType="separate"/>
          </w:r>
          <w:r>
            <w:t>4</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_Toc11777 </w:instrText>
          </w:r>
          <w:r>
            <w:rPr>
              <w:rFonts w:ascii="Times New Roman" w:hAnsi="Times New Roman" w:eastAsia="宋体" w:cs="Times New Roman"/>
              <w:szCs w:val="21"/>
            </w:rPr>
            <w:fldChar w:fldCharType="separate"/>
          </w:r>
          <w:r>
            <w:rPr>
              <w:rFonts w:hint="eastAsia" w:ascii="黑体" w:hAnsi="黑体" w:eastAsia="黑体"/>
            </w:rPr>
            <w:t>3.1  标准制订的基本原则</w:t>
          </w:r>
          <w:r>
            <w:tab/>
          </w:r>
          <w:r>
            <w:fldChar w:fldCharType="begin"/>
          </w:r>
          <w:r>
            <w:instrText xml:space="preserve"> PAGEREF _Toc11777 \h </w:instrText>
          </w:r>
          <w:r>
            <w:fldChar w:fldCharType="separate"/>
          </w:r>
          <w:r>
            <w:t>4</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_Toc20098 </w:instrText>
          </w:r>
          <w:r>
            <w:rPr>
              <w:rFonts w:ascii="Times New Roman" w:hAnsi="Times New Roman" w:eastAsia="宋体" w:cs="Times New Roman"/>
              <w:szCs w:val="21"/>
            </w:rPr>
            <w:fldChar w:fldCharType="separate"/>
          </w:r>
          <w:r>
            <w:rPr>
              <w:rFonts w:hint="eastAsia" w:ascii="黑体" w:hAnsi="黑体" w:eastAsia="黑体"/>
            </w:rPr>
            <w:t>3.2  标准制订的技术路线</w:t>
          </w:r>
          <w:r>
            <w:tab/>
          </w:r>
          <w:r>
            <w:fldChar w:fldCharType="begin"/>
          </w:r>
          <w:r>
            <w:instrText xml:space="preserve"> PAGEREF _Toc20098 \h </w:instrText>
          </w:r>
          <w:r>
            <w:fldChar w:fldCharType="separate"/>
          </w:r>
          <w:r>
            <w:t>5</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_Toc4037 </w:instrText>
          </w:r>
          <w:r>
            <w:rPr>
              <w:rFonts w:ascii="Times New Roman" w:hAnsi="Times New Roman" w:eastAsia="宋体" w:cs="Times New Roman"/>
              <w:szCs w:val="21"/>
            </w:rPr>
            <w:fldChar w:fldCharType="separate"/>
          </w:r>
          <w:r>
            <w:rPr>
              <w:rFonts w:hint="eastAsia" w:ascii="黑体" w:hAnsi="黑体" w:eastAsia="黑体"/>
            </w:rPr>
            <w:t>3.3  标准主要内容</w:t>
          </w:r>
          <w:r>
            <w:tab/>
          </w:r>
          <w:r>
            <w:fldChar w:fldCharType="begin"/>
          </w:r>
          <w:r>
            <w:instrText xml:space="preserve"> PAGEREF _Toc4037 \h </w:instrText>
          </w:r>
          <w:r>
            <w:fldChar w:fldCharType="separate"/>
          </w:r>
          <w:r>
            <w:t>5</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_Toc30357 </w:instrText>
          </w:r>
          <w:r>
            <w:rPr>
              <w:rFonts w:ascii="Times New Roman" w:hAnsi="Times New Roman" w:eastAsia="宋体" w:cs="Times New Roman"/>
              <w:szCs w:val="21"/>
            </w:rPr>
            <w:fldChar w:fldCharType="separate"/>
          </w:r>
          <w:r>
            <w:rPr>
              <w:rFonts w:ascii="黑体" w:hAnsi="黑体" w:eastAsia="黑体"/>
              <w:szCs w:val="28"/>
            </w:rPr>
            <w:t>4 标准制订的目的和意义</w:t>
          </w:r>
          <w:r>
            <w:tab/>
          </w:r>
          <w:r>
            <w:fldChar w:fldCharType="begin"/>
          </w:r>
          <w:r>
            <w:instrText xml:space="preserve"> PAGEREF _Toc30357 \h </w:instrText>
          </w:r>
          <w:r>
            <w:fldChar w:fldCharType="separate"/>
          </w:r>
          <w:r>
            <w:t>11</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_Toc18830 </w:instrText>
          </w:r>
          <w:r>
            <w:rPr>
              <w:rFonts w:ascii="Times New Roman" w:hAnsi="Times New Roman" w:eastAsia="宋体" w:cs="Times New Roman"/>
              <w:szCs w:val="21"/>
            </w:rPr>
            <w:fldChar w:fldCharType="separate"/>
          </w:r>
          <w:r>
            <w:rPr>
              <w:rFonts w:hint="eastAsia" w:ascii="黑体" w:hAnsi="黑体" w:eastAsia="黑体"/>
              <w:szCs w:val="24"/>
            </w:rPr>
            <w:t xml:space="preserve">4.1  </w:t>
          </w:r>
          <w:r>
            <w:rPr>
              <w:rFonts w:ascii="黑体" w:hAnsi="黑体" w:eastAsia="黑体"/>
              <w:szCs w:val="24"/>
            </w:rPr>
            <w:t>有助于“新基建”项目</w:t>
          </w:r>
          <w:r>
            <w:rPr>
              <w:rFonts w:hint="eastAsia" w:ascii="黑体" w:hAnsi="黑体" w:eastAsia="黑体"/>
              <w:szCs w:val="24"/>
              <w:lang w:val="en-US" w:eastAsia="zh-CN"/>
            </w:rPr>
            <w:t>优化</w:t>
          </w:r>
          <w:r>
            <w:rPr>
              <w:rFonts w:ascii="黑体" w:hAnsi="黑体" w:eastAsia="黑体"/>
              <w:szCs w:val="24"/>
            </w:rPr>
            <w:t>选址选点</w:t>
          </w:r>
          <w:r>
            <w:tab/>
          </w:r>
          <w:r>
            <w:fldChar w:fldCharType="begin"/>
          </w:r>
          <w:r>
            <w:instrText xml:space="preserve"> PAGEREF _Toc18830 \h </w:instrText>
          </w:r>
          <w:r>
            <w:fldChar w:fldCharType="separate"/>
          </w:r>
          <w:r>
            <w:t>11</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_Toc25819 </w:instrText>
          </w:r>
          <w:r>
            <w:rPr>
              <w:rFonts w:ascii="Times New Roman" w:hAnsi="Times New Roman" w:eastAsia="宋体" w:cs="Times New Roman"/>
              <w:szCs w:val="21"/>
            </w:rPr>
            <w:fldChar w:fldCharType="separate"/>
          </w:r>
          <w:r>
            <w:rPr>
              <w:rFonts w:hint="eastAsia" w:ascii="黑体" w:hAnsi="黑体" w:eastAsia="黑体"/>
              <w:szCs w:val="24"/>
            </w:rPr>
            <w:t xml:space="preserve">4.2  </w:t>
          </w:r>
          <w:r>
            <w:rPr>
              <w:rFonts w:ascii="黑体" w:hAnsi="黑体" w:eastAsia="黑体"/>
              <w:szCs w:val="24"/>
            </w:rPr>
            <w:t>有助于化解“新基建”项目产生的信访与投诉</w:t>
          </w:r>
          <w:r>
            <w:tab/>
          </w:r>
          <w:r>
            <w:fldChar w:fldCharType="begin"/>
          </w:r>
          <w:r>
            <w:instrText xml:space="preserve"> PAGEREF _Toc25819 \h </w:instrText>
          </w:r>
          <w:r>
            <w:fldChar w:fldCharType="separate"/>
          </w:r>
          <w:r>
            <w:t>11</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_Toc5881 </w:instrText>
          </w:r>
          <w:r>
            <w:rPr>
              <w:rFonts w:ascii="Times New Roman" w:hAnsi="Times New Roman" w:eastAsia="宋体" w:cs="Times New Roman"/>
              <w:szCs w:val="21"/>
            </w:rPr>
            <w:fldChar w:fldCharType="separate"/>
          </w:r>
          <w:r>
            <w:rPr>
              <w:rFonts w:hint="eastAsia" w:ascii="黑体" w:hAnsi="黑体" w:eastAsia="黑体"/>
              <w:szCs w:val="24"/>
            </w:rPr>
            <w:t>4.</w:t>
          </w:r>
          <w:r>
            <w:rPr>
              <w:rFonts w:ascii="黑体" w:hAnsi="黑体" w:eastAsia="黑体"/>
              <w:szCs w:val="24"/>
            </w:rPr>
            <w:t>3</w:t>
          </w:r>
          <w:r>
            <w:rPr>
              <w:rFonts w:hint="eastAsia" w:ascii="黑体" w:hAnsi="黑体" w:eastAsia="黑体"/>
              <w:szCs w:val="24"/>
              <w:lang w:val="en-US" w:eastAsia="zh-CN"/>
            </w:rPr>
            <w:t xml:space="preserve">  </w:t>
          </w:r>
          <w:r>
            <w:rPr>
              <w:rFonts w:ascii="黑体" w:hAnsi="黑体" w:eastAsia="黑体"/>
              <w:szCs w:val="24"/>
            </w:rPr>
            <w:t>有助于提高我省电磁辐射环境预警预报技术能力</w:t>
          </w:r>
          <w:r>
            <w:tab/>
          </w:r>
          <w:r>
            <w:fldChar w:fldCharType="begin"/>
          </w:r>
          <w:r>
            <w:instrText xml:space="preserve"> PAGEREF _Toc5881 \h </w:instrText>
          </w:r>
          <w:r>
            <w:fldChar w:fldCharType="separate"/>
          </w:r>
          <w:r>
            <w:t>11</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_Toc29306 </w:instrText>
          </w:r>
          <w:r>
            <w:rPr>
              <w:rFonts w:ascii="Times New Roman" w:hAnsi="Times New Roman" w:eastAsia="宋体" w:cs="Times New Roman"/>
              <w:szCs w:val="21"/>
            </w:rPr>
            <w:fldChar w:fldCharType="separate"/>
          </w:r>
          <w:r>
            <w:rPr>
              <w:rFonts w:hint="eastAsia" w:ascii="黑体" w:hAnsi="黑体" w:eastAsia="黑体"/>
              <w:szCs w:val="24"/>
            </w:rPr>
            <w:t>4.</w:t>
          </w:r>
          <w:r>
            <w:rPr>
              <w:rFonts w:ascii="黑体" w:hAnsi="黑体" w:eastAsia="黑体"/>
              <w:szCs w:val="24"/>
            </w:rPr>
            <w:t>4</w:t>
          </w:r>
          <w:r>
            <w:rPr>
              <w:rFonts w:hint="eastAsia" w:ascii="黑体" w:hAnsi="黑体" w:eastAsia="黑体"/>
              <w:szCs w:val="24"/>
              <w:lang w:val="en-US" w:eastAsia="zh-CN"/>
            </w:rPr>
            <w:t xml:space="preserve">  </w:t>
          </w:r>
          <w:r>
            <w:rPr>
              <w:rFonts w:ascii="黑体" w:hAnsi="黑体" w:eastAsia="黑体"/>
              <w:szCs w:val="24"/>
            </w:rPr>
            <w:t>有助于完善我省电磁辐射环境监测技术能力</w:t>
          </w:r>
          <w:r>
            <w:tab/>
          </w:r>
          <w:r>
            <w:fldChar w:fldCharType="begin"/>
          </w:r>
          <w:r>
            <w:instrText xml:space="preserve"> PAGEREF _Toc29306 \h </w:instrText>
          </w:r>
          <w:r>
            <w:fldChar w:fldCharType="separate"/>
          </w:r>
          <w:r>
            <w:t>11</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_Toc20628 </w:instrText>
          </w:r>
          <w:r>
            <w:rPr>
              <w:rFonts w:ascii="Times New Roman" w:hAnsi="Times New Roman" w:eastAsia="宋体" w:cs="Times New Roman"/>
              <w:szCs w:val="21"/>
            </w:rPr>
            <w:fldChar w:fldCharType="separate"/>
          </w:r>
          <w:r>
            <w:rPr>
              <w:rFonts w:hint="eastAsia" w:ascii="黑体" w:hAnsi="黑体" w:eastAsia="黑体"/>
              <w:szCs w:val="24"/>
            </w:rPr>
            <w:t>4.</w:t>
          </w:r>
          <w:r>
            <w:rPr>
              <w:rFonts w:ascii="黑体" w:hAnsi="黑体" w:eastAsia="黑体"/>
              <w:szCs w:val="24"/>
            </w:rPr>
            <w:t>5</w:t>
          </w:r>
          <w:r>
            <w:rPr>
              <w:rFonts w:hint="eastAsia" w:ascii="黑体" w:hAnsi="黑体" w:eastAsia="黑体"/>
              <w:szCs w:val="24"/>
              <w:lang w:val="en-US" w:eastAsia="zh-CN"/>
            </w:rPr>
            <w:t xml:space="preserve">  </w:t>
          </w:r>
          <w:r>
            <w:rPr>
              <w:rFonts w:ascii="黑体" w:hAnsi="黑体" w:eastAsia="黑体"/>
              <w:szCs w:val="24"/>
            </w:rPr>
            <w:t>有助于推动我省电磁辐射环境自动监测的数字</w:t>
          </w:r>
          <w:r>
            <w:rPr>
              <w:rFonts w:hint="eastAsia" w:ascii="黑体" w:hAnsi="黑体" w:eastAsia="黑体"/>
              <w:szCs w:val="24"/>
            </w:rPr>
            <w:t>化</w:t>
          </w:r>
          <w:r>
            <w:tab/>
          </w:r>
          <w:r>
            <w:fldChar w:fldCharType="begin"/>
          </w:r>
          <w:r>
            <w:instrText xml:space="preserve"> PAGEREF _Toc20628 \h </w:instrText>
          </w:r>
          <w:r>
            <w:fldChar w:fldCharType="separate"/>
          </w:r>
          <w:r>
            <w:t>11</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_Toc20961 </w:instrText>
          </w:r>
          <w:r>
            <w:rPr>
              <w:rFonts w:ascii="Times New Roman" w:hAnsi="Times New Roman" w:eastAsia="宋体" w:cs="Times New Roman"/>
              <w:szCs w:val="21"/>
            </w:rPr>
            <w:fldChar w:fldCharType="separate"/>
          </w:r>
          <w:r>
            <w:rPr>
              <w:rFonts w:hint="eastAsia" w:ascii="黑体" w:hAnsi="黑体" w:eastAsia="黑体"/>
              <w:szCs w:val="28"/>
            </w:rPr>
            <w:t xml:space="preserve">5  </w:t>
          </w:r>
          <w:r>
            <w:rPr>
              <w:rFonts w:ascii="黑体" w:hAnsi="黑体" w:eastAsia="黑体"/>
              <w:szCs w:val="28"/>
            </w:rPr>
            <w:t>国内外相关应用研究</w:t>
          </w:r>
          <w:r>
            <w:tab/>
          </w:r>
          <w:r>
            <w:fldChar w:fldCharType="begin"/>
          </w:r>
          <w:r>
            <w:instrText xml:space="preserve"> PAGEREF _Toc20961 \h </w:instrText>
          </w:r>
          <w:r>
            <w:fldChar w:fldCharType="separate"/>
          </w:r>
          <w:r>
            <w:t>12</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_Toc29405 </w:instrText>
          </w:r>
          <w:r>
            <w:rPr>
              <w:rFonts w:ascii="Times New Roman" w:hAnsi="Times New Roman" w:eastAsia="宋体" w:cs="Times New Roman"/>
              <w:szCs w:val="21"/>
            </w:rPr>
            <w:fldChar w:fldCharType="separate"/>
          </w:r>
          <w:r>
            <w:rPr>
              <w:rFonts w:hint="eastAsia" w:ascii="黑体" w:hAnsi="黑体" w:eastAsia="黑体"/>
              <w:szCs w:val="24"/>
            </w:rPr>
            <w:t>5.1  电磁辐射环境自动监测系统</w:t>
          </w:r>
          <w:r>
            <w:rPr>
              <w:rFonts w:hint="eastAsia" w:ascii="黑体" w:hAnsi="黑体" w:eastAsia="黑体"/>
              <w:szCs w:val="24"/>
              <w:lang w:val="en-US" w:eastAsia="zh-CN"/>
            </w:rPr>
            <w:t>基本组成</w:t>
          </w:r>
          <w:r>
            <w:tab/>
          </w:r>
          <w:r>
            <w:fldChar w:fldCharType="begin"/>
          </w:r>
          <w:r>
            <w:instrText xml:space="preserve"> PAGEREF _Toc29405 \h </w:instrText>
          </w:r>
          <w:r>
            <w:fldChar w:fldCharType="separate"/>
          </w:r>
          <w:r>
            <w:t>12</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_Toc31284 </w:instrText>
          </w:r>
          <w:r>
            <w:rPr>
              <w:rFonts w:ascii="Times New Roman" w:hAnsi="Times New Roman" w:eastAsia="宋体" w:cs="Times New Roman"/>
              <w:szCs w:val="21"/>
            </w:rPr>
            <w:fldChar w:fldCharType="separate"/>
          </w:r>
          <w:r>
            <w:rPr>
              <w:rFonts w:hint="eastAsia" w:ascii="黑体" w:hAnsi="黑体" w:eastAsia="黑体"/>
              <w:szCs w:val="24"/>
            </w:rPr>
            <w:t>5.</w:t>
          </w:r>
          <w:r>
            <w:rPr>
              <w:rFonts w:hint="eastAsia" w:ascii="黑体" w:hAnsi="黑体" w:eastAsia="黑体"/>
              <w:szCs w:val="24"/>
              <w:lang w:val="en-US" w:eastAsia="zh-CN"/>
            </w:rPr>
            <w:t>2</w:t>
          </w:r>
          <w:r>
            <w:rPr>
              <w:rFonts w:hint="eastAsia" w:ascii="黑体" w:hAnsi="黑体" w:eastAsia="黑体"/>
              <w:szCs w:val="24"/>
            </w:rPr>
            <w:t xml:space="preserve">  国内电磁辐射环境自动站建设</w:t>
          </w:r>
          <w:r>
            <w:tab/>
          </w:r>
          <w:r>
            <w:fldChar w:fldCharType="begin"/>
          </w:r>
          <w:r>
            <w:instrText xml:space="preserve"> PAGEREF _Toc31284 \h </w:instrText>
          </w:r>
          <w:r>
            <w:fldChar w:fldCharType="separate"/>
          </w:r>
          <w:r>
            <w:t>13</w:t>
          </w:r>
          <w:r>
            <w:fldChar w:fldCharType="end"/>
          </w:r>
          <w:r>
            <w:rPr>
              <w:rFonts w:ascii="Times New Roman" w:hAnsi="Times New Roman" w:eastAsia="宋体" w:cs="Times New Roman"/>
              <w:szCs w:val="21"/>
            </w:rPr>
            <w:fldChar w:fldCharType="end"/>
          </w:r>
        </w:p>
        <w:p>
          <w:pPr>
            <w:pStyle w:val="12"/>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_Toc23164 </w:instrText>
          </w:r>
          <w:r>
            <w:rPr>
              <w:rFonts w:ascii="Times New Roman" w:hAnsi="Times New Roman" w:eastAsia="宋体" w:cs="Times New Roman"/>
              <w:szCs w:val="21"/>
            </w:rPr>
            <w:fldChar w:fldCharType="separate"/>
          </w:r>
          <w:r>
            <w:rPr>
              <w:rFonts w:hint="eastAsia" w:ascii="黑体" w:hAnsi="黑体" w:eastAsia="黑体"/>
            </w:rPr>
            <w:t>5.</w:t>
          </w:r>
          <w:r>
            <w:rPr>
              <w:rFonts w:hint="eastAsia" w:ascii="黑体" w:hAnsi="黑体" w:eastAsia="黑体"/>
              <w:lang w:val="en-US" w:eastAsia="zh-CN"/>
            </w:rPr>
            <w:t>3</w:t>
          </w:r>
          <w:r>
            <w:rPr>
              <w:rFonts w:hint="eastAsia" w:ascii="黑体" w:hAnsi="黑体" w:eastAsia="黑体"/>
            </w:rPr>
            <w:t xml:space="preserve">  国外电磁辐射环境自动站建设</w:t>
          </w:r>
          <w:r>
            <w:tab/>
          </w:r>
          <w:r>
            <w:fldChar w:fldCharType="begin"/>
          </w:r>
          <w:r>
            <w:instrText xml:space="preserve"> PAGEREF _Toc23164 \h </w:instrText>
          </w:r>
          <w:r>
            <w:fldChar w:fldCharType="separate"/>
          </w:r>
          <w:r>
            <w:t>18</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_Toc30508 </w:instrText>
          </w:r>
          <w:r>
            <w:rPr>
              <w:rFonts w:ascii="Times New Roman" w:hAnsi="Times New Roman" w:eastAsia="宋体" w:cs="Times New Roman"/>
              <w:szCs w:val="21"/>
            </w:rPr>
            <w:fldChar w:fldCharType="separate"/>
          </w:r>
          <w:r>
            <w:rPr>
              <w:rFonts w:hint="eastAsia" w:ascii="黑体" w:hAnsi="黑体" w:eastAsia="黑体"/>
              <w:szCs w:val="28"/>
            </w:rPr>
            <w:t>6  主要试验（或验证）的分析报告、相关技术和经济影响论证</w:t>
          </w:r>
          <w:r>
            <w:tab/>
          </w:r>
          <w:r>
            <w:fldChar w:fldCharType="begin"/>
          </w:r>
          <w:r>
            <w:instrText xml:space="preserve"> PAGEREF _Toc30508 \h </w:instrText>
          </w:r>
          <w:r>
            <w:fldChar w:fldCharType="separate"/>
          </w:r>
          <w:r>
            <w:t>22</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_Toc18229 </w:instrText>
          </w:r>
          <w:r>
            <w:rPr>
              <w:rFonts w:ascii="Times New Roman" w:hAnsi="Times New Roman" w:eastAsia="宋体" w:cs="Times New Roman"/>
              <w:szCs w:val="21"/>
            </w:rPr>
            <w:fldChar w:fldCharType="separate"/>
          </w:r>
          <w:r>
            <w:rPr>
              <w:rFonts w:hint="eastAsia" w:ascii="黑体" w:hAnsi="黑体" w:eastAsia="黑体"/>
              <w:szCs w:val="28"/>
            </w:rPr>
            <w:t>7  重大意见分歧的处理依据和结果</w:t>
          </w:r>
          <w:r>
            <w:tab/>
          </w:r>
          <w:r>
            <w:fldChar w:fldCharType="begin"/>
          </w:r>
          <w:r>
            <w:instrText xml:space="preserve"> PAGEREF _Toc18229 \h </w:instrText>
          </w:r>
          <w:r>
            <w:fldChar w:fldCharType="separate"/>
          </w:r>
          <w:r>
            <w:t>22</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_Toc2242 </w:instrText>
          </w:r>
          <w:r>
            <w:rPr>
              <w:rFonts w:ascii="Times New Roman" w:hAnsi="Times New Roman" w:eastAsia="宋体" w:cs="Times New Roman"/>
              <w:szCs w:val="21"/>
            </w:rPr>
            <w:fldChar w:fldCharType="separate"/>
          </w:r>
          <w:r>
            <w:rPr>
              <w:rFonts w:hint="eastAsia" w:ascii="黑体" w:hAnsi="黑体" w:eastAsia="黑体"/>
              <w:szCs w:val="28"/>
            </w:rPr>
            <w:t>8  预期的社会经济效益</w:t>
          </w:r>
          <w:r>
            <w:tab/>
          </w:r>
          <w:r>
            <w:fldChar w:fldCharType="begin"/>
          </w:r>
          <w:r>
            <w:instrText xml:space="preserve"> PAGEREF _Toc2242 \h </w:instrText>
          </w:r>
          <w:r>
            <w:fldChar w:fldCharType="separate"/>
          </w:r>
          <w:r>
            <w:t>22</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_Toc853 </w:instrText>
          </w:r>
          <w:r>
            <w:rPr>
              <w:rFonts w:ascii="Times New Roman" w:hAnsi="Times New Roman" w:eastAsia="宋体" w:cs="Times New Roman"/>
              <w:szCs w:val="21"/>
            </w:rPr>
            <w:fldChar w:fldCharType="separate"/>
          </w:r>
          <w:r>
            <w:rPr>
              <w:rFonts w:hint="eastAsia" w:ascii="黑体" w:hAnsi="黑体" w:eastAsia="黑体"/>
              <w:szCs w:val="28"/>
            </w:rPr>
            <w:t>9  强制性标准实施的风险评估</w:t>
          </w:r>
          <w:r>
            <w:tab/>
          </w:r>
          <w:r>
            <w:fldChar w:fldCharType="begin"/>
          </w:r>
          <w:r>
            <w:instrText xml:space="preserve"> PAGEREF _Toc853 \h </w:instrText>
          </w:r>
          <w:r>
            <w:fldChar w:fldCharType="separate"/>
          </w:r>
          <w:r>
            <w:t>22</w:t>
          </w:r>
          <w:r>
            <w:fldChar w:fldCharType="end"/>
          </w:r>
          <w:r>
            <w:rPr>
              <w:rFonts w:ascii="Times New Roman" w:hAnsi="Times New Roman" w:eastAsia="宋体" w:cs="Times New Roman"/>
              <w:szCs w:val="21"/>
            </w:rPr>
            <w:fldChar w:fldCharType="end"/>
          </w:r>
        </w:p>
        <w:p>
          <w:pPr>
            <w:pStyle w:val="11"/>
            <w:tabs>
              <w:tab w:val="right" w:leader="dot" w:pos="8306"/>
            </w:tabs>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HYPERLINK \l _Toc6493 </w:instrText>
          </w:r>
          <w:r>
            <w:rPr>
              <w:rFonts w:ascii="Times New Roman" w:hAnsi="Times New Roman" w:eastAsia="宋体" w:cs="Times New Roman"/>
              <w:szCs w:val="21"/>
            </w:rPr>
            <w:fldChar w:fldCharType="separate"/>
          </w:r>
          <w:r>
            <w:rPr>
              <w:rFonts w:hint="eastAsia" w:ascii="黑体" w:hAnsi="黑体" w:eastAsia="黑体"/>
              <w:szCs w:val="28"/>
            </w:rPr>
            <w:t>10  其他应当说明的事项</w:t>
          </w:r>
          <w:r>
            <w:tab/>
          </w:r>
          <w:r>
            <w:fldChar w:fldCharType="begin"/>
          </w:r>
          <w:r>
            <w:instrText xml:space="preserve"> PAGEREF _Toc6493 \h </w:instrText>
          </w:r>
          <w:r>
            <w:fldChar w:fldCharType="separate"/>
          </w:r>
          <w:r>
            <w:t>23</w:t>
          </w:r>
          <w:r>
            <w:fldChar w:fldCharType="end"/>
          </w:r>
          <w:r>
            <w:rPr>
              <w:rFonts w:ascii="Times New Roman" w:hAnsi="Times New Roman" w:eastAsia="宋体" w:cs="Times New Roman"/>
              <w:szCs w:val="21"/>
            </w:rPr>
            <w:fldChar w:fldCharType="end"/>
          </w:r>
        </w:p>
        <w:p>
          <w:pPr>
            <w:rPr>
              <w:rFonts w:ascii="Times New Roman" w:hAnsi="Times New Roman" w:eastAsia="宋体" w:cs="Times New Roman"/>
              <w:szCs w:val="21"/>
            </w:rPr>
          </w:pPr>
          <w:r>
            <w:rPr>
              <w:rFonts w:ascii="Times New Roman" w:hAnsi="Times New Roman" w:eastAsia="宋体" w:cs="Times New Roman"/>
              <w:szCs w:val="21"/>
            </w:rPr>
            <w:fldChar w:fldCharType="end"/>
          </w:r>
        </w:p>
      </w:sdtContent>
    </w:sdt>
    <w:p>
      <w:pPr>
        <w:rPr>
          <w:rFonts w:ascii="Times New Roman" w:hAnsi="Times New Roman" w:cs="Times New Roman"/>
          <w:lang w:val="zh-CN"/>
        </w:rPr>
      </w:pPr>
    </w:p>
    <w:p>
      <w:pPr>
        <w:rPr>
          <w:rFonts w:ascii="Times New Roman" w:hAnsi="Times New Roman" w:cs="Times New Roman"/>
          <w:lang w:val="zh-CN"/>
        </w:rPr>
      </w:pPr>
    </w:p>
    <w:p>
      <w:pPr>
        <w:rPr>
          <w:rFonts w:ascii="Times New Roman" w:hAnsi="Times New Roman" w:cs="Times New Roman"/>
          <w:lang w:val="zh-CN"/>
        </w:rPr>
      </w:pPr>
    </w:p>
    <w:p>
      <w:pPr>
        <w:rPr>
          <w:rFonts w:ascii="Times New Roman" w:hAnsi="Times New Roman" w:cs="Times New Roman"/>
          <w:lang w:val="zh-CN"/>
        </w:rPr>
        <w:sectPr>
          <w:footerReference r:id="rId4" w:type="default"/>
          <w:pgSz w:w="11906" w:h="16838"/>
          <w:pgMar w:top="1440" w:right="1800" w:bottom="1440" w:left="1800" w:header="851" w:footer="992" w:gutter="0"/>
          <w:pgNumType w:start="1"/>
          <w:cols w:space="425" w:num="1"/>
          <w:docGrid w:type="lines" w:linePitch="312" w:charSpace="0"/>
        </w:sectPr>
      </w:pPr>
    </w:p>
    <w:p>
      <w:pPr>
        <w:pStyle w:val="2"/>
        <w:rPr>
          <w:rFonts w:ascii="黑体" w:hAnsi="黑体" w:eastAsia="黑体"/>
          <w:b w:val="0"/>
          <w:sz w:val="28"/>
          <w:szCs w:val="28"/>
          <w:lang w:val="zh-CN"/>
        </w:rPr>
      </w:pPr>
      <w:bookmarkStart w:id="0" w:name="_Toc23141"/>
      <w:bookmarkStart w:id="1" w:name="_Toc25413"/>
      <w:r>
        <w:rPr>
          <w:rFonts w:ascii="黑体" w:hAnsi="黑体" w:eastAsia="黑体"/>
          <w:b w:val="0"/>
          <w:sz w:val="28"/>
          <w:szCs w:val="28"/>
          <w:lang w:val="zh-CN"/>
        </w:rPr>
        <w:t>1项目背景</w:t>
      </w:r>
      <w:bookmarkEnd w:id="0"/>
      <w:bookmarkEnd w:id="1"/>
    </w:p>
    <w:p>
      <w:pPr>
        <w:pStyle w:val="3"/>
        <w:rPr>
          <w:rFonts w:ascii="黑体" w:hAnsi="黑体" w:eastAsia="黑体" w:cs="Times New Roman"/>
          <w:b w:val="0"/>
          <w:szCs w:val="24"/>
        </w:rPr>
      </w:pPr>
      <w:bookmarkStart w:id="2" w:name="_Toc5285"/>
      <w:bookmarkStart w:id="3" w:name="_Toc23999"/>
      <w:r>
        <w:rPr>
          <w:rFonts w:hint="eastAsia" w:ascii="黑体" w:hAnsi="黑体" w:eastAsia="黑体" w:cs="Times New Roman"/>
          <w:b w:val="0"/>
          <w:szCs w:val="24"/>
        </w:rPr>
        <w:t>1.1标准制订的必要性</w:t>
      </w:r>
      <w:bookmarkEnd w:id="2"/>
      <w:bookmarkEnd w:id="3"/>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十四五”期间，国家继续加大包括5G基站建设在内的新型基础设施建设力度。作为超高频（SHF）厘米波甚至是极高频（EHF）毫米波发射设备，与现有的特高频（UHF）分米波发射设备在天线供电模式、载波数量、发射功率等方面有显著差别，涉及的应用行业也更为广泛，应用场景也更为多样。根据《广东省生态环境保护“十四五”规划》要求，我省将建设一批电磁环境自动监测站，建立并完善省控电磁辐射环境监测网络，加强电磁辐射监管手段，完善监管体系，确保核与辐射安全。</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rPr>
        <w:t>目前，针对</w:t>
      </w:r>
      <w:r>
        <w:rPr>
          <w:rFonts w:hint="eastAsia" w:ascii="宋体" w:hAnsi="宋体" w:eastAsia="宋体" w:cs="宋体"/>
          <w:lang w:val="en-US" w:eastAsia="zh-CN"/>
        </w:rPr>
        <w:t>核与</w:t>
      </w:r>
      <w:r>
        <w:rPr>
          <w:rFonts w:hint="eastAsia" w:ascii="宋体" w:hAnsi="宋体" w:eastAsia="宋体" w:cs="宋体"/>
        </w:rPr>
        <w:t xml:space="preserve">辐射自动监测站运行的环境保护行业标准为《辐射环境空气自动监测站运行技术规范》（HJ1009-2019），但该标准给出的辐射环境空气自动监测站定义为“用于环境γ辐射、气象状况连续监测与空气样品自动采样的固定监测站点”，仅适用于电离辐射环境自动站运行要求，对电磁辐射自动监测站建设和运行未进行规定。因此，为进一步规范电磁辐射环境自动站建设与运行，保障我省5G基站等电磁辐射项目高质量发展，制订《电磁辐射环境自动监测技术规范》（以下简称“本标准”）十分必要，主要体现在以下几个方面： </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lang w:eastAsia="zh-CN"/>
        </w:rPr>
        <w:t>（</w:t>
      </w:r>
      <w:r>
        <w:rPr>
          <w:rFonts w:hint="eastAsia" w:ascii="宋体" w:hAnsi="宋体" w:eastAsia="宋体" w:cs="宋体"/>
          <w:lang w:val="en-US" w:eastAsia="zh-CN"/>
        </w:rPr>
        <w:t>1</w:t>
      </w:r>
      <w:r>
        <w:rPr>
          <w:rFonts w:hint="eastAsia" w:ascii="宋体" w:hAnsi="宋体" w:eastAsia="宋体" w:cs="宋体"/>
          <w:lang w:eastAsia="zh-CN"/>
        </w:rPr>
        <w:t>）</w:t>
      </w:r>
      <w:r>
        <w:rPr>
          <w:rFonts w:hint="eastAsia" w:ascii="宋体" w:hAnsi="宋体" w:eastAsia="宋体" w:cs="宋体"/>
        </w:rPr>
        <w:t>填补我省</w:t>
      </w:r>
      <w:r>
        <w:rPr>
          <w:rFonts w:hint="eastAsia" w:ascii="宋体" w:hAnsi="宋体" w:eastAsia="宋体" w:cs="宋体"/>
          <w:lang w:eastAsia="zh-CN"/>
        </w:rPr>
        <w:t>电磁环境质量</w:t>
      </w:r>
      <w:r>
        <w:rPr>
          <w:rFonts w:hint="eastAsia" w:ascii="宋体" w:hAnsi="宋体" w:eastAsia="宋体" w:cs="宋体"/>
        </w:rPr>
        <w:t>自动监测规范体系空白。本标准的制订，将填补我省</w:t>
      </w:r>
      <w:r>
        <w:rPr>
          <w:rFonts w:hint="eastAsia" w:ascii="宋体" w:hAnsi="宋体" w:eastAsia="宋体" w:cs="宋体"/>
          <w:lang w:eastAsia="zh-CN"/>
        </w:rPr>
        <w:t>电磁环境质量</w:t>
      </w:r>
      <w:r>
        <w:rPr>
          <w:rFonts w:hint="eastAsia" w:ascii="宋体" w:hAnsi="宋体" w:eastAsia="宋体" w:cs="宋体"/>
        </w:rPr>
        <w:t>自动监测领域监测规范空白的现状。为我省</w:t>
      </w:r>
      <w:r>
        <w:rPr>
          <w:rFonts w:hint="eastAsia" w:ascii="宋体" w:hAnsi="宋体" w:eastAsia="宋体" w:cs="宋体"/>
          <w:lang w:eastAsia="zh-CN"/>
        </w:rPr>
        <w:t>电磁环境质量</w:t>
      </w:r>
      <w:r>
        <w:rPr>
          <w:rFonts w:hint="eastAsia" w:ascii="宋体" w:hAnsi="宋体" w:eastAsia="宋体" w:cs="宋体"/>
        </w:rPr>
        <w:t>自动监测提供依据，保障</w:t>
      </w:r>
      <w:r>
        <w:rPr>
          <w:rFonts w:hint="eastAsia" w:ascii="宋体" w:hAnsi="宋体" w:eastAsia="宋体" w:cs="宋体"/>
          <w:lang w:eastAsia="zh-CN"/>
        </w:rPr>
        <w:t>电磁环境质量</w:t>
      </w:r>
      <w:r>
        <w:rPr>
          <w:rFonts w:hint="eastAsia" w:ascii="宋体" w:hAnsi="宋体" w:eastAsia="宋体" w:cs="宋体"/>
        </w:rPr>
        <w:t>自动监测工作有效实施。</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lang w:eastAsia="zh-CN"/>
        </w:rPr>
        <w:t>（</w:t>
      </w:r>
      <w:r>
        <w:rPr>
          <w:rFonts w:hint="eastAsia" w:ascii="宋体" w:hAnsi="宋体" w:eastAsia="宋体" w:cs="宋体"/>
          <w:lang w:val="en-US" w:eastAsia="zh-CN"/>
        </w:rPr>
        <w:t>2</w:t>
      </w:r>
      <w:r>
        <w:rPr>
          <w:rFonts w:hint="eastAsia" w:ascii="宋体" w:hAnsi="宋体" w:eastAsia="宋体" w:cs="宋体"/>
          <w:lang w:eastAsia="zh-CN"/>
        </w:rPr>
        <w:t>）</w:t>
      </w:r>
      <w:r>
        <w:rPr>
          <w:rFonts w:hint="eastAsia" w:ascii="宋体" w:hAnsi="宋体" w:eastAsia="宋体" w:cs="宋体"/>
        </w:rPr>
        <w:t>完善现有省控电磁辐射要素监测点位数据。目前电磁国控点监测大部分以人工手持监测仪器逐点测量为主，监测时间为一年中的某个时间段。人工测量无法满足全时段、全要素、全覆盖的要求，存在环境质量监测的不确定性。本标准的出台，将进一步提高电磁辐射环境监测点位数据的时效性、准确性以及全面性。</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rPr>
      </w:pPr>
      <w:r>
        <w:rPr>
          <w:rFonts w:hint="eastAsia" w:ascii="宋体" w:hAnsi="宋体" w:eastAsia="宋体" w:cs="宋体"/>
          <w:lang w:eastAsia="zh-CN"/>
        </w:rPr>
        <w:t>（</w:t>
      </w:r>
      <w:r>
        <w:rPr>
          <w:rFonts w:hint="eastAsia" w:ascii="宋体" w:hAnsi="宋体" w:eastAsia="宋体" w:cs="宋体"/>
          <w:lang w:val="en-US" w:eastAsia="zh-CN"/>
        </w:rPr>
        <w:t>3</w:t>
      </w:r>
      <w:r>
        <w:rPr>
          <w:rFonts w:hint="eastAsia" w:ascii="宋体" w:hAnsi="宋体" w:eastAsia="宋体" w:cs="宋体"/>
          <w:lang w:eastAsia="zh-CN"/>
        </w:rPr>
        <w:t>）</w:t>
      </w:r>
      <w:r>
        <w:rPr>
          <w:rFonts w:hint="eastAsia" w:ascii="宋体" w:hAnsi="宋体" w:eastAsia="宋体" w:cs="宋体"/>
        </w:rPr>
        <w:t>提升</w:t>
      </w:r>
      <w:r>
        <w:rPr>
          <w:rFonts w:hint="eastAsia" w:ascii="宋体" w:hAnsi="宋体" w:eastAsia="宋体" w:cs="宋体"/>
          <w:lang w:eastAsia="zh-CN"/>
        </w:rPr>
        <w:t>电磁环境质量</w:t>
      </w:r>
      <w:r>
        <w:rPr>
          <w:rFonts w:hint="eastAsia" w:ascii="宋体" w:hAnsi="宋体" w:eastAsia="宋体" w:cs="宋体"/>
        </w:rPr>
        <w:t>预报预警能力。根据国务院办公厅《印发生态环境监测网络建设方案的通知》（国办发﹝2015﹞56号），要求“自动预警，科学引导环境管理与风险防范”。制订本标准，将保障电磁辐射环境自动站建设与运行的规范性，保障</w:t>
      </w:r>
      <w:r>
        <w:rPr>
          <w:rFonts w:hint="eastAsia" w:ascii="宋体" w:hAnsi="宋体" w:eastAsia="宋体" w:cs="宋体"/>
          <w:lang w:eastAsia="zh-CN"/>
        </w:rPr>
        <w:t>电磁环境质量</w:t>
      </w:r>
      <w:r>
        <w:rPr>
          <w:rFonts w:hint="eastAsia" w:ascii="宋体" w:hAnsi="宋体" w:eastAsia="宋体" w:cs="宋体"/>
        </w:rPr>
        <w:t>数据的合规性，提升</w:t>
      </w:r>
      <w:r>
        <w:rPr>
          <w:rFonts w:hint="eastAsia" w:ascii="宋体" w:hAnsi="宋体" w:eastAsia="宋体" w:cs="宋体"/>
          <w:lang w:eastAsia="zh-CN"/>
        </w:rPr>
        <w:t>电磁环境质量</w:t>
      </w:r>
      <w:r>
        <w:rPr>
          <w:rFonts w:hint="eastAsia" w:ascii="宋体" w:hAnsi="宋体" w:eastAsia="宋体" w:cs="宋体"/>
        </w:rPr>
        <w:t>预报预警能力。</w:t>
      </w:r>
    </w:p>
    <w:p>
      <w:pPr>
        <w:pStyle w:val="3"/>
        <w:rPr>
          <w:rFonts w:ascii="黑体" w:hAnsi="黑体" w:eastAsia="黑体" w:cs="Times New Roman"/>
          <w:b w:val="0"/>
          <w:szCs w:val="24"/>
        </w:rPr>
      </w:pPr>
      <w:bookmarkStart w:id="4" w:name="_Toc20412"/>
      <w:bookmarkStart w:id="5" w:name="_Toc13935"/>
      <w:r>
        <w:rPr>
          <w:rFonts w:hint="eastAsia" w:ascii="黑体" w:hAnsi="黑体" w:eastAsia="黑体" w:cs="Times New Roman"/>
          <w:b w:val="0"/>
          <w:szCs w:val="24"/>
        </w:rPr>
        <w:t>1.2标准制订的可行性</w:t>
      </w:r>
      <w:bookmarkEnd w:id="4"/>
      <w:bookmarkEnd w:id="5"/>
    </w:p>
    <w:p>
      <w:pPr>
        <w:spacing w:line="360" w:lineRule="auto"/>
        <w:ind w:firstLine="420" w:firstLineChars="200"/>
        <w:jc w:val="left"/>
        <w:rPr>
          <w:rFonts w:hint="default" w:ascii="Times New Roman" w:hAnsi="Times New Roman" w:eastAsia="宋体" w:cs="Times New Roman"/>
          <w:szCs w:val="21"/>
        </w:rPr>
      </w:pPr>
      <w:r>
        <w:rPr>
          <w:rFonts w:hint="default" w:ascii="Times New Roman" w:hAnsi="Times New Roman" w:eastAsia="宋体" w:cs="Times New Roman"/>
          <w:szCs w:val="21"/>
        </w:rPr>
        <w:t>电磁辐射环境自动监测站作为长期连续的自动监测设备，已广泛应用于我国多省、市的生态环境监测网络中。</w:t>
      </w:r>
    </w:p>
    <w:p>
      <w:pPr>
        <w:spacing w:line="360" w:lineRule="auto"/>
        <w:ind w:firstLine="420" w:firstLineChars="200"/>
        <w:jc w:val="left"/>
        <w:rPr>
          <w:rFonts w:hint="default" w:ascii="Times New Roman" w:hAnsi="Times New Roman" w:eastAsia="宋体" w:cs="Times New Roman"/>
          <w:szCs w:val="21"/>
        </w:rPr>
      </w:pPr>
      <w:r>
        <w:rPr>
          <w:rFonts w:hint="default" w:ascii="Times New Roman" w:hAnsi="Times New Roman" w:eastAsia="宋体" w:cs="Times New Roman"/>
          <w:szCs w:val="21"/>
        </w:rPr>
        <w:t>目前国内已有北京、上海、深圳、河南、陕西、贵州、甘肃、四川等</w:t>
      </w:r>
      <w:r>
        <w:rPr>
          <w:rFonts w:hint="eastAsia" w:ascii="Times New Roman" w:hAnsi="Times New Roman" w:eastAsia="宋体" w:cs="Times New Roman"/>
          <w:szCs w:val="21"/>
          <w:lang w:val="en-US" w:eastAsia="zh-CN"/>
        </w:rPr>
        <w:t>地</w:t>
      </w:r>
      <w:r>
        <w:rPr>
          <w:rFonts w:hint="default" w:ascii="Times New Roman" w:hAnsi="Times New Roman" w:eastAsia="宋体" w:cs="Times New Roman"/>
          <w:szCs w:val="21"/>
        </w:rPr>
        <w:t>实现电磁辐射环境自动监测网络的一期或二期建设，站点建设覆盖面广，设备运行稳定，已形成以省、市为单位的常态化电磁辐射环境自动监测。以陕西省为例，电磁辐射环境自动监测网络已覆盖西安、咸阳等所有地级市，每座城市至少建有1套涵盖100kHz-6GHz频段的射频电磁辐射环境自动监测站及1套涵盖20Hz-100kHz频段的工频电磁辐射环境自动监测站，同时站点数据实时上传，初步实现电磁辐射环境自动监测的常态化。</w:t>
      </w:r>
    </w:p>
    <w:p>
      <w:pPr>
        <w:spacing w:line="360" w:lineRule="auto"/>
        <w:ind w:firstLine="420" w:firstLineChars="200"/>
        <w:jc w:val="left"/>
        <w:rPr>
          <w:rFonts w:hint="default" w:ascii="Times New Roman" w:hAnsi="Times New Roman" w:eastAsia="宋体" w:cs="Times New Roman"/>
          <w:color w:val="000000" w:themeColor="text1"/>
          <w:szCs w:val="21"/>
          <w14:textFill>
            <w14:solidFill>
              <w14:schemeClr w14:val="tx1"/>
            </w14:solidFill>
          </w14:textFill>
        </w:rPr>
      </w:pPr>
      <w:r>
        <w:rPr>
          <w:rFonts w:hint="default" w:ascii="Times New Roman" w:hAnsi="Times New Roman" w:eastAsia="宋体" w:cs="Times New Roman"/>
          <w:szCs w:val="21"/>
        </w:rPr>
        <w:t>我省部分单位和地市</w:t>
      </w:r>
      <w:r>
        <w:rPr>
          <w:rFonts w:hint="eastAsia" w:ascii="Times New Roman" w:hAnsi="Times New Roman" w:eastAsia="宋体" w:cs="Times New Roman"/>
          <w:szCs w:val="21"/>
          <w:lang w:val="en-US" w:eastAsia="zh-CN"/>
        </w:rPr>
        <w:t>也</w:t>
      </w:r>
      <w:r>
        <w:rPr>
          <w:rFonts w:hint="default" w:ascii="Times New Roman" w:hAnsi="Times New Roman" w:eastAsia="宋体" w:cs="Times New Roman"/>
          <w:szCs w:val="21"/>
        </w:rPr>
        <w:t>开展了电磁辐射环境自动监测试点工作，</w:t>
      </w:r>
      <w:r>
        <w:rPr>
          <w:rFonts w:hint="eastAsia" w:ascii="Times New Roman" w:hAnsi="Times New Roman" w:eastAsia="宋体" w:cs="Times New Roman"/>
          <w:szCs w:val="21"/>
          <w:lang w:eastAsia="zh-CN"/>
        </w:rPr>
        <w:t>广东省环境辐射监测与核应急响应技术支持中心</w:t>
      </w:r>
      <w:r>
        <w:rPr>
          <w:rFonts w:hint="eastAsia" w:ascii="Times New Roman" w:hAnsi="Times New Roman" w:eastAsia="宋体" w:cs="Times New Roman"/>
          <w:szCs w:val="21"/>
          <w:lang w:val="en-US" w:eastAsia="zh-CN"/>
        </w:rPr>
        <w:t>已建成</w:t>
      </w:r>
      <w:r>
        <w:rPr>
          <w:rFonts w:hint="default" w:ascii="Times New Roman" w:hAnsi="Times New Roman" w:eastAsia="宋体" w:cs="Times New Roman"/>
          <w:szCs w:val="21"/>
        </w:rPr>
        <w:t>1个</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今年计划新建2个</w:t>
      </w:r>
      <w:r>
        <w:rPr>
          <w:rFonts w:hint="default" w:ascii="Times New Roman" w:hAnsi="Times New Roman" w:eastAsia="宋体" w:cs="Times New Roman"/>
          <w:szCs w:val="21"/>
        </w:rPr>
        <w:t>；广东省佛山生态环境监测站建</w:t>
      </w:r>
      <w:r>
        <w:rPr>
          <w:rFonts w:hint="eastAsia" w:ascii="Times New Roman" w:hAnsi="Times New Roman" w:eastAsia="宋体" w:cs="Times New Roman"/>
          <w:szCs w:val="21"/>
          <w:lang w:val="en-US" w:eastAsia="zh-CN"/>
        </w:rPr>
        <w:t>成</w:t>
      </w:r>
      <w:r>
        <w:rPr>
          <w:rFonts w:hint="default" w:ascii="Times New Roman" w:hAnsi="Times New Roman" w:eastAsia="宋体" w:cs="Times New Roman"/>
          <w:szCs w:val="21"/>
        </w:rPr>
        <w:t>1个；深圳市生态环境局建</w:t>
      </w:r>
      <w:r>
        <w:rPr>
          <w:rFonts w:hint="eastAsia" w:ascii="Times New Roman" w:hAnsi="Times New Roman" w:eastAsia="宋体" w:cs="Times New Roman"/>
          <w:szCs w:val="21"/>
          <w:lang w:val="en-US" w:eastAsia="zh-CN"/>
        </w:rPr>
        <w:t>成</w:t>
      </w:r>
      <w:r>
        <w:rPr>
          <w:rFonts w:hint="default" w:ascii="Times New Roman" w:hAnsi="Times New Roman" w:eastAsia="宋体" w:cs="Times New Roman"/>
          <w:szCs w:val="21"/>
        </w:rPr>
        <w:t>19个，包括12个覆盖深圳市全行政区域的环境质量站点，7个针对变电站、广播电视、中波台、基站、雷达等电磁辐射设施设备建设的站点。</w:t>
      </w:r>
      <w:r>
        <w:rPr>
          <w:rFonts w:hint="eastAsia" w:ascii="宋体" w:hAnsi="宋体" w:eastAsia="宋体" w:cs="宋体"/>
          <w:color w:val="000000" w:themeColor="text1"/>
          <w:lang w:val="en-US" w:eastAsia="zh-CN"/>
          <w14:textFill>
            <w14:solidFill>
              <w14:schemeClr w14:val="tx1"/>
            </w14:solidFill>
          </w14:textFill>
        </w:rPr>
        <w:t>目前，</w:t>
      </w:r>
      <w:r>
        <w:rPr>
          <w:rFonts w:hint="eastAsia" w:ascii="宋体" w:hAnsi="宋体" w:eastAsia="宋体" w:cs="宋体"/>
          <w:color w:val="000000" w:themeColor="text1"/>
          <w:szCs w:val="21"/>
          <w14:textFill>
            <w14:solidFill>
              <w14:schemeClr w14:val="tx1"/>
            </w14:solidFill>
          </w14:textFill>
        </w:rPr>
        <w:t>电磁辐射自动监测的生态环境行业标准和地方标准均未出台</w:t>
      </w:r>
      <w:r>
        <w:rPr>
          <w:rFonts w:hint="eastAsia" w:ascii="宋体" w:hAnsi="宋体" w:eastAsia="宋体" w:cs="宋体"/>
          <w:color w:val="000000" w:themeColor="text1"/>
          <w:szCs w:val="21"/>
          <w:lang w:eastAsia="zh-CN"/>
          <w14:textFill>
            <w14:solidFill>
              <w14:schemeClr w14:val="tx1"/>
            </w14:solidFill>
          </w14:textFill>
        </w:rPr>
        <w:t>。</w:t>
      </w:r>
      <w:r>
        <w:rPr>
          <w:rFonts w:hint="eastAsia" w:ascii="宋体" w:hAnsi="宋体" w:eastAsia="宋体" w:cs="宋体"/>
          <w:color w:val="000000" w:themeColor="text1"/>
          <w:szCs w:val="21"/>
          <w:lang w:val="en-US" w:eastAsia="zh-CN"/>
          <w14:textFill>
            <w14:solidFill>
              <w14:schemeClr w14:val="tx1"/>
            </w14:solidFill>
          </w14:textFill>
        </w:rPr>
        <w:t>因此，本次标准编制旨在</w:t>
      </w:r>
      <w:r>
        <w:rPr>
          <w:rFonts w:hint="eastAsia" w:ascii="Times New Roman" w:hAnsi="Times New Roman" w:eastAsia="宋体" w:cs="Times New Roman"/>
          <w:color w:val="000000" w:themeColor="text1"/>
          <w:szCs w:val="21"/>
          <w:lang w:val="en-US" w:eastAsia="zh-CN"/>
          <w14:textFill>
            <w14:solidFill>
              <w14:schemeClr w14:val="tx1"/>
            </w14:solidFill>
          </w14:textFill>
        </w:rPr>
        <w:t>我省</w:t>
      </w:r>
      <w:r>
        <w:rPr>
          <w:rFonts w:hint="default" w:ascii="Times New Roman" w:hAnsi="Times New Roman" w:eastAsia="宋体" w:cs="Times New Roman"/>
          <w:color w:val="000000" w:themeColor="text1"/>
          <w:szCs w:val="21"/>
          <w14:textFill>
            <w14:solidFill>
              <w14:schemeClr w14:val="tx1"/>
            </w14:solidFill>
          </w14:textFill>
        </w:rPr>
        <w:t>已布设的电磁辐射环境自动监测设备基础上加快推进，并形成具有</w:t>
      </w:r>
      <w:r>
        <w:rPr>
          <w:rFonts w:hint="eastAsia" w:ascii="Times New Roman" w:hAnsi="Times New Roman" w:eastAsia="宋体" w:cs="Times New Roman"/>
          <w:color w:val="000000" w:themeColor="text1"/>
          <w:szCs w:val="21"/>
          <w:lang w:val="en-US" w:eastAsia="zh-CN"/>
          <w14:textFill>
            <w14:solidFill>
              <w14:schemeClr w14:val="tx1"/>
            </w14:solidFill>
          </w14:textFill>
        </w:rPr>
        <w:t>广东</w:t>
      </w:r>
      <w:r>
        <w:rPr>
          <w:rFonts w:hint="default" w:ascii="Times New Roman" w:hAnsi="Times New Roman" w:eastAsia="宋体" w:cs="Times New Roman"/>
          <w:color w:val="000000" w:themeColor="text1"/>
          <w:szCs w:val="21"/>
          <w14:textFill>
            <w14:solidFill>
              <w14:schemeClr w14:val="tx1"/>
            </w14:solidFill>
          </w14:textFill>
        </w:rPr>
        <w:t>特色的</w:t>
      </w:r>
      <w:r>
        <w:rPr>
          <w:rFonts w:hint="eastAsia" w:ascii="Times New Roman" w:hAnsi="Times New Roman" w:eastAsia="宋体" w:cs="Times New Roman"/>
          <w:color w:val="000000" w:themeColor="text1"/>
          <w:szCs w:val="21"/>
          <w:lang w:val="en-US" w:eastAsia="zh-CN"/>
          <w14:textFill>
            <w14:solidFill>
              <w14:schemeClr w14:val="tx1"/>
            </w14:solidFill>
          </w14:textFill>
        </w:rPr>
        <w:t>团体</w:t>
      </w:r>
      <w:r>
        <w:rPr>
          <w:rFonts w:hint="default" w:ascii="Times New Roman" w:hAnsi="Times New Roman" w:eastAsia="宋体" w:cs="Times New Roman"/>
          <w:color w:val="000000" w:themeColor="text1"/>
          <w:szCs w:val="21"/>
          <w14:textFill>
            <w14:solidFill>
              <w14:schemeClr w14:val="tx1"/>
            </w14:solidFill>
          </w14:textFill>
        </w:rPr>
        <w:t>标准</w:t>
      </w:r>
      <w:r>
        <w:rPr>
          <w:rFonts w:hint="eastAsia" w:ascii="Times New Roman" w:hAnsi="Times New Roman" w:eastAsia="宋体" w:cs="Times New Roman"/>
          <w:color w:val="000000" w:themeColor="text1"/>
          <w:szCs w:val="21"/>
          <w:lang w:eastAsia="zh-CN"/>
          <w14:textFill>
            <w14:solidFill>
              <w14:schemeClr w14:val="tx1"/>
            </w14:solidFill>
          </w14:textFill>
        </w:rPr>
        <w:t>——《</w:t>
      </w:r>
      <w:r>
        <w:rPr>
          <w:rFonts w:hint="default" w:ascii="Times New Roman" w:hAnsi="Times New Roman" w:eastAsia="宋体" w:cs="Times New Roman"/>
          <w:color w:val="000000" w:themeColor="text1"/>
          <w:szCs w:val="21"/>
          <w14:textFill>
            <w14:solidFill>
              <w14:schemeClr w14:val="tx1"/>
            </w14:solidFill>
          </w14:textFill>
        </w:rPr>
        <w:t>电磁辐射环境自动监测技术规范</w:t>
      </w:r>
      <w:r>
        <w:rPr>
          <w:rFonts w:hint="eastAsia" w:ascii="Times New Roman" w:hAnsi="Times New Roman" w:eastAsia="宋体" w:cs="Times New Roman"/>
          <w:color w:val="000000" w:themeColor="text1"/>
          <w:szCs w:val="21"/>
          <w:lang w:eastAsia="zh-CN"/>
          <w14:textFill>
            <w14:solidFill>
              <w14:schemeClr w14:val="tx1"/>
            </w14:solidFill>
          </w14:textFill>
        </w:rPr>
        <w:t>》</w:t>
      </w:r>
      <w:r>
        <w:rPr>
          <w:rFonts w:hint="default" w:ascii="Times New Roman" w:hAnsi="Times New Roman" w:eastAsia="宋体" w:cs="Times New Roman"/>
          <w:color w:val="000000" w:themeColor="text1"/>
          <w:szCs w:val="21"/>
          <w14:textFill>
            <w14:solidFill>
              <w14:schemeClr w14:val="tx1"/>
            </w14:solidFill>
          </w14:textFill>
        </w:rPr>
        <w:t>，从而保障我省</w:t>
      </w:r>
      <w:r>
        <w:rPr>
          <w:rFonts w:hint="eastAsia" w:ascii="Times New Roman" w:hAnsi="Times New Roman" w:eastAsia="宋体" w:cs="Times New Roman"/>
          <w:color w:val="000000" w:themeColor="text1"/>
          <w:szCs w:val="21"/>
          <w:lang w:eastAsia="zh-CN"/>
          <w14:textFill>
            <w14:solidFill>
              <w14:schemeClr w14:val="tx1"/>
            </w14:solidFill>
          </w14:textFill>
        </w:rPr>
        <w:t>“</w:t>
      </w:r>
      <w:r>
        <w:rPr>
          <w:rFonts w:hint="default" w:ascii="Times New Roman" w:hAnsi="Times New Roman" w:eastAsia="宋体" w:cs="Times New Roman"/>
          <w:color w:val="000000" w:themeColor="text1"/>
          <w:szCs w:val="21"/>
          <w14:textFill>
            <w14:solidFill>
              <w14:schemeClr w14:val="tx1"/>
            </w14:solidFill>
          </w14:textFill>
        </w:rPr>
        <w:t>新基建</w:t>
      </w:r>
      <w:r>
        <w:rPr>
          <w:rFonts w:hint="eastAsia" w:ascii="Times New Roman" w:hAnsi="Times New Roman" w:eastAsia="宋体" w:cs="Times New Roman"/>
          <w:color w:val="000000" w:themeColor="text1"/>
          <w:szCs w:val="21"/>
          <w:lang w:eastAsia="zh-CN"/>
          <w14:textFill>
            <w14:solidFill>
              <w14:schemeClr w14:val="tx1"/>
            </w14:solidFill>
          </w14:textFill>
        </w:rPr>
        <w:t>”</w:t>
      </w:r>
      <w:r>
        <w:rPr>
          <w:rFonts w:hint="default" w:ascii="Times New Roman" w:hAnsi="Times New Roman" w:eastAsia="宋体" w:cs="Times New Roman"/>
          <w:color w:val="000000" w:themeColor="text1"/>
          <w:szCs w:val="21"/>
          <w14:textFill>
            <w14:solidFill>
              <w14:schemeClr w14:val="tx1"/>
            </w14:solidFill>
          </w14:textFill>
        </w:rPr>
        <w:t>项目的</w:t>
      </w:r>
      <w:r>
        <w:rPr>
          <w:rFonts w:hint="eastAsia" w:ascii="Times New Roman" w:hAnsi="Times New Roman" w:eastAsia="宋体" w:cs="Times New Roman"/>
          <w:color w:val="000000" w:themeColor="text1"/>
          <w:szCs w:val="21"/>
          <w:lang w:eastAsia="zh-CN"/>
          <w14:textFill>
            <w14:solidFill>
              <w14:schemeClr w14:val="tx1"/>
            </w14:solidFill>
          </w14:textFill>
        </w:rPr>
        <w:t>电磁环境质量</w:t>
      </w:r>
      <w:r>
        <w:rPr>
          <w:rFonts w:hint="default" w:ascii="Times New Roman" w:hAnsi="Times New Roman" w:eastAsia="宋体" w:cs="Times New Roman"/>
          <w:color w:val="000000" w:themeColor="text1"/>
          <w:szCs w:val="21"/>
          <w14:textFill>
            <w14:solidFill>
              <w14:schemeClr w14:val="tx1"/>
            </w14:solidFill>
          </w14:textFill>
        </w:rPr>
        <w:t>的可持续发展，创新</w:t>
      </w:r>
      <w:r>
        <w:rPr>
          <w:rFonts w:hint="eastAsia" w:ascii="Times New Roman" w:hAnsi="Times New Roman" w:eastAsia="宋体" w:cs="Times New Roman"/>
          <w:color w:val="000000" w:themeColor="text1"/>
          <w:szCs w:val="21"/>
          <w:lang w:eastAsia="zh-CN"/>
          <w14:textFill>
            <w14:solidFill>
              <w14:schemeClr w14:val="tx1"/>
            </w14:solidFill>
          </w14:textFill>
        </w:rPr>
        <w:t>电磁环境质量</w:t>
      </w:r>
      <w:r>
        <w:rPr>
          <w:rFonts w:hint="default" w:ascii="Times New Roman" w:hAnsi="Times New Roman" w:eastAsia="宋体" w:cs="Times New Roman"/>
          <w:color w:val="000000" w:themeColor="text1"/>
          <w:szCs w:val="21"/>
          <w14:textFill>
            <w14:solidFill>
              <w14:schemeClr w14:val="tx1"/>
            </w14:solidFill>
          </w14:textFill>
        </w:rPr>
        <w:t>监测方法，填补生态环境质量自动监测要素，为更好的评价电磁环境质量提供技术支撑。</w:t>
      </w:r>
    </w:p>
    <w:p>
      <w:pPr>
        <w:spacing w:line="360" w:lineRule="auto"/>
        <w:ind w:firstLine="420" w:firstLineChars="200"/>
        <w:jc w:val="left"/>
        <w:rPr>
          <w:rFonts w:hint="default" w:ascii="Times New Roman" w:hAnsi="Times New Roman" w:eastAsia="宋体" w:cs="Times New Roman"/>
          <w:szCs w:val="21"/>
        </w:rPr>
      </w:pPr>
      <w:r>
        <w:rPr>
          <w:rFonts w:hint="eastAsia" w:ascii="Times New Roman" w:hAnsi="Times New Roman" w:eastAsia="宋体" w:cs="Times New Roman"/>
          <w:szCs w:val="21"/>
        </w:rPr>
        <w:t>广东省环境辐射监测与核应急响应技术支持中心</w:t>
      </w:r>
      <w:r>
        <w:rPr>
          <w:rFonts w:hint="default" w:ascii="Times New Roman" w:hAnsi="Times New Roman" w:eastAsia="宋体" w:cs="Times New Roman"/>
          <w:szCs w:val="21"/>
        </w:rPr>
        <w:t>负责全省电磁辐射设施设备监督性监测，并开展</w:t>
      </w:r>
      <w:r>
        <w:rPr>
          <w:rFonts w:hint="eastAsia" w:ascii="Times New Roman" w:hAnsi="Times New Roman" w:eastAsia="宋体" w:cs="Times New Roman"/>
          <w:szCs w:val="21"/>
          <w:lang w:eastAsia="zh-CN"/>
        </w:rPr>
        <w:t>电磁环境质量</w:t>
      </w:r>
      <w:r>
        <w:rPr>
          <w:rFonts w:hint="default" w:ascii="Times New Roman" w:hAnsi="Times New Roman" w:eastAsia="宋体" w:cs="Times New Roman"/>
          <w:szCs w:val="21"/>
        </w:rPr>
        <w:t>监测多年，积累了大量的监测数据和工作经验，对全省电磁辐射施设备及电磁环境质量有深入的了解。为了适应电磁环境管理与监测新形式和新要求，需掌握海量</w:t>
      </w:r>
      <w:r>
        <w:rPr>
          <w:rFonts w:hint="eastAsia" w:ascii="Times New Roman" w:hAnsi="Times New Roman" w:eastAsia="宋体" w:cs="Times New Roman"/>
          <w:szCs w:val="21"/>
          <w:lang w:eastAsia="zh-CN"/>
        </w:rPr>
        <w:t>电磁辐射设施</w:t>
      </w:r>
      <w:r>
        <w:rPr>
          <w:rFonts w:hint="default" w:ascii="Times New Roman" w:hAnsi="Times New Roman" w:eastAsia="宋体" w:cs="Times New Roman"/>
          <w:szCs w:val="21"/>
        </w:rPr>
        <w:t>的基础信息和监测信息来加强事中事后监管。广东省生态环境厅委托广东辐射中心建立了通信基站电磁环境管理与监测平台，为全国开创通信基站新的管理与监测模式探路。</w:t>
      </w:r>
    </w:p>
    <w:p>
      <w:pPr>
        <w:spacing w:line="360" w:lineRule="auto"/>
        <w:ind w:firstLine="420" w:firstLineChars="200"/>
        <w:jc w:val="left"/>
        <w:rPr>
          <w:rFonts w:hint="eastAsia" w:ascii="Times New Roman" w:hAnsi="Times New Roman" w:eastAsia="宋体" w:cs="Times New Roman"/>
          <w:szCs w:val="21"/>
          <w:lang w:eastAsia="zh-CN"/>
        </w:rPr>
      </w:pPr>
      <w:r>
        <w:rPr>
          <w:rFonts w:hint="eastAsia" w:ascii="Times New Roman" w:hAnsi="Times New Roman" w:eastAsia="宋体" w:cs="Times New Roman"/>
          <w:szCs w:val="21"/>
        </w:rPr>
        <w:t>广东省核工业地质局辐射环境监测中心是广东省地质局下属事业单位，自环评法实施以来，一直在全国范围内开展输变电及广电通信类电磁项目环境影响评价、竣工环保验收工作；另外在深圳、河源等地开展了电磁环境质量现状调查，不仅具有多年电磁辐射设施监测与评价的工作经验，还具有电磁环境质量调查的相关实践，为相关单位、部门提供了重要的技术支撑</w:t>
      </w:r>
      <w:r>
        <w:rPr>
          <w:rFonts w:hint="eastAsia" w:ascii="Times New Roman" w:hAnsi="Times New Roman" w:eastAsia="宋体" w:cs="Times New Roman"/>
          <w:szCs w:val="21"/>
          <w:lang w:eastAsia="zh-CN"/>
        </w:rPr>
        <w:t>。</w:t>
      </w:r>
    </w:p>
    <w:p>
      <w:pPr>
        <w:spacing w:line="360" w:lineRule="auto"/>
        <w:ind w:firstLine="420" w:firstLineChars="200"/>
        <w:jc w:val="left"/>
        <w:rPr>
          <w:rFonts w:hint="eastAsia" w:ascii="Times New Roman" w:hAnsi="Times New Roman" w:eastAsia="宋体" w:cs="Times New Roman"/>
          <w:szCs w:val="21"/>
        </w:rPr>
      </w:pPr>
      <w:r>
        <w:rPr>
          <w:rFonts w:hint="eastAsia" w:ascii="Times New Roman" w:hAnsi="Times New Roman" w:eastAsia="宋体" w:cs="Times New Roman"/>
          <w:szCs w:val="21"/>
        </w:rPr>
        <w:t>广东智环创新环境科技有限公司是广东省环境科学研究院环评改革脱钩的国家级高新技术企业，拥有30余项发明专利、实用新型专利及软件著作权，4项广东省环境保护科技奖，获得“广东省创新型中小企业”、“广东省专精特新中小企业”及“广东省环境污染防治工程技术研究中心”的称号。公司现有员工228人，其中博士4人、硕士82人、本科115人、高级工程师35人(教授级高工1人、高工34人)、工程师105人，注册环境影响评价工程师25人，注册核安全工程师4人。</w:t>
      </w:r>
    </w:p>
    <w:p>
      <w:pPr>
        <w:spacing w:line="360" w:lineRule="auto"/>
        <w:ind w:firstLine="420" w:firstLineChars="200"/>
        <w:jc w:val="left"/>
        <w:rPr>
          <w:rFonts w:hint="eastAsia" w:ascii="Times New Roman" w:hAnsi="Times New Roman" w:eastAsia="宋体" w:cs="Times New Roman"/>
          <w:color w:val="C00000"/>
          <w:szCs w:val="21"/>
        </w:rPr>
      </w:pPr>
      <w:r>
        <w:rPr>
          <w:rFonts w:hint="eastAsia" w:ascii="Times New Roman" w:hAnsi="Times New Roman" w:eastAsia="宋体" w:cs="Times New Roman"/>
          <w:szCs w:val="21"/>
        </w:rPr>
        <w:t>北京森馥科技股份有限公司拥有资深的电磁辐射监测和仪器专业团队，</w:t>
      </w:r>
      <w:r>
        <w:rPr>
          <w:rFonts w:hint="eastAsia" w:ascii="Times New Roman" w:hAnsi="Times New Roman" w:eastAsia="宋体" w:cs="Times New Roman"/>
          <w:szCs w:val="21"/>
          <w:lang w:val="en-US" w:eastAsia="zh-CN"/>
        </w:rPr>
        <w:t>,</w:t>
      </w:r>
      <w:r>
        <w:rPr>
          <w:rFonts w:hint="eastAsia" w:ascii="Times New Roman" w:hAnsi="Times New Roman" w:eastAsia="宋体" w:cs="Times New Roman"/>
          <w:szCs w:val="21"/>
        </w:rPr>
        <w:t>拥有电磁辐射环境监测相关的CNAS认证、计量器具型式批准证书、中国制造计量器具许可证，建设有DC-40GHz电磁校准实验室，并通过了北京市校准实验室计量建标</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先后参与完成电磁辐射环境监测相关的1项国际标准、5项行业/地方标准和3项团体标准的编制工作，拥有电磁辐射环境监测仪器相关的发明专利22项、实用新型专利45项、软件著作权47项</w:t>
      </w:r>
      <w:r>
        <w:rPr>
          <w:rFonts w:hint="eastAsia" w:ascii="Times New Roman" w:hAnsi="Times New Roman" w:eastAsia="宋体" w:cs="Times New Roman"/>
          <w:szCs w:val="21"/>
          <w:lang w:eastAsia="zh-CN"/>
        </w:rPr>
        <w:t>。</w:t>
      </w:r>
    </w:p>
    <w:p>
      <w:pPr>
        <w:pStyle w:val="2"/>
        <w:rPr>
          <w:rFonts w:ascii="黑体" w:hAnsi="黑体" w:eastAsia="黑体"/>
          <w:b w:val="0"/>
          <w:sz w:val="28"/>
          <w:szCs w:val="28"/>
        </w:rPr>
      </w:pPr>
      <w:bookmarkStart w:id="6" w:name="_Toc25256"/>
      <w:bookmarkStart w:id="7" w:name="_Toc24819"/>
      <w:r>
        <w:rPr>
          <w:rFonts w:hint="eastAsia" w:ascii="黑体" w:hAnsi="黑体" w:eastAsia="黑体"/>
          <w:b w:val="0"/>
          <w:sz w:val="28"/>
          <w:szCs w:val="28"/>
        </w:rPr>
        <w:t>2  工作简况</w:t>
      </w:r>
      <w:bookmarkEnd w:id="6"/>
      <w:bookmarkEnd w:id="7"/>
    </w:p>
    <w:p>
      <w:pPr>
        <w:pStyle w:val="3"/>
        <w:rPr>
          <w:rFonts w:ascii="黑体" w:hAnsi="黑体" w:eastAsia="黑体"/>
          <w:b w:val="0"/>
        </w:rPr>
      </w:pPr>
      <w:bookmarkStart w:id="8" w:name="_Toc6204"/>
      <w:bookmarkStart w:id="9" w:name="_Toc23769"/>
      <w:r>
        <w:rPr>
          <w:rFonts w:hint="eastAsia" w:ascii="黑体" w:hAnsi="黑体" w:eastAsia="黑体"/>
          <w:b w:val="0"/>
        </w:rPr>
        <w:t>2.1  编制单位</w:t>
      </w:r>
      <w:bookmarkEnd w:id="8"/>
      <w:bookmarkEnd w:id="9"/>
    </w:p>
    <w:p>
      <w:pPr>
        <w:spacing w:line="360" w:lineRule="auto"/>
        <w:ind w:firstLine="420"/>
        <w:rPr>
          <w:rFonts w:ascii="Times New Roman" w:hAnsi="Times New Roman" w:eastAsia="宋体" w:cs="Times New Roman"/>
          <w:szCs w:val="21"/>
        </w:rPr>
      </w:pPr>
      <w:r>
        <w:rPr>
          <w:rFonts w:hint="eastAsia" w:ascii="Times New Roman" w:hAnsi="Times New Roman" w:eastAsia="宋体" w:cs="Times New Roman"/>
          <w:szCs w:val="21"/>
        </w:rPr>
        <w:t>本标准的编制单位</w:t>
      </w:r>
      <w:r>
        <w:rPr>
          <w:rFonts w:hint="eastAsia" w:ascii="Times New Roman" w:hAnsi="Times New Roman" w:eastAsia="宋体" w:cs="Times New Roman"/>
          <w:szCs w:val="21"/>
          <w:lang w:val="en-US" w:eastAsia="zh-CN"/>
        </w:rPr>
        <w:t>包括</w:t>
      </w:r>
      <w:r>
        <w:rPr>
          <w:rFonts w:hint="eastAsia" w:ascii="Times New Roman" w:hAnsi="Times New Roman" w:eastAsia="宋体" w:cs="Times New Roman"/>
          <w:szCs w:val="21"/>
        </w:rPr>
        <w:t>广东省环境辐射监测与核应急响应技术支持中心、广东省核工业地质局辐射环境监测中心、广东智环创新环境科技有限公司、北京森馥科技股份有限公司。</w:t>
      </w:r>
    </w:p>
    <w:p>
      <w:pPr>
        <w:pStyle w:val="3"/>
        <w:rPr>
          <w:rFonts w:ascii="宋体" w:hAnsi="宋体"/>
          <w:szCs w:val="21"/>
        </w:rPr>
      </w:pPr>
      <w:bookmarkStart w:id="10" w:name="_Toc15267"/>
      <w:bookmarkStart w:id="11" w:name="_Toc27456"/>
      <w:r>
        <w:rPr>
          <w:rFonts w:hint="eastAsia" w:ascii="黑体" w:hAnsi="黑体" w:eastAsia="黑体"/>
          <w:b w:val="0"/>
        </w:rPr>
        <w:t>2.2  主要工作过程</w:t>
      </w:r>
      <w:bookmarkEnd w:id="10"/>
      <w:bookmarkEnd w:id="11"/>
    </w:p>
    <w:p>
      <w:pPr>
        <w:spacing w:line="360" w:lineRule="auto"/>
        <w:ind w:firstLine="420"/>
        <w:rPr>
          <w:rFonts w:ascii="Times New Roman" w:hAnsi="Times New Roman" w:eastAsia="宋体" w:cs="Times New Roman"/>
          <w:szCs w:val="21"/>
        </w:rPr>
      </w:pPr>
      <w:r>
        <w:rPr>
          <w:rFonts w:ascii="Times New Roman" w:hAnsi="Times New Roman" w:eastAsia="宋体" w:cs="Times New Roman"/>
          <w:szCs w:val="21"/>
        </w:rPr>
        <w:t>202</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年</w:t>
      </w:r>
      <w:r>
        <w:rPr>
          <w:rFonts w:hint="eastAsia" w:ascii="Times New Roman" w:hAnsi="Times New Roman" w:eastAsia="宋体" w:cs="Times New Roman"/>
          <w:szCs w:val="21"/>
          <w:lang w:val="en-US" w:eastAsia="zh-CN"/>
        </w:rPr>
        <w:t>1</w:t>
      </w:r>
      <w:r>
        <w:rPr>
          <w:rFonts w:ascii="Times New Roman" w:hAnsi="Times New Roman" w:eastAsia="宋体" w:cs="Times New Roman"/>
          <w:szCs w:val="21"/>
        </w:rPr>
        <w:t>月，</w:t>
      </w:r>
      <w:r>
        <w:rPr>
          <w:rFonts w:hint="eastAsia" w:ascii="Times New Roman" w:hAnsi="Times New Roman" w:eastAsia="宋体" w:cs="Times New Roman"/>
          <w:szCs w:val="21"/>
          <w:lang w:val="en-US" w:eastAsia="zh-CN"/>
        </w:rPr>
        <w:t>编制单位</w:t>
      </w:r>
      <w:r>
        <w:rPr>
          <w:rFonts w:ascii="Times New Roman" w:hAnsi="Times New Roman" w:eastAsia="宋体" w:cs="Times New Roman"/>
          <w:szCs w:val="21"/>
        </w:rPr>
        <w:t>启动标准申报工作，成立标准编制组。</w:t>
      </w:r>
    </w:p>
    <w:p>
      <w:pPr>
        <w:spacing w:line="360" w:lineRule="auto"/>
        <w:ind w:firstLine="420"/>
        <w:rPr>
          <w:rFonts w:ascii="Times New Roman" w:hAnsi="Times New Roman" w:eastAsia="宋体" w:cs="Times New Roman"/>
          <w:szCs w:val="21"/>
        </w:rPr>
      </w:pPr>
      <w:r>
        <w:rPr>
          <w:rFonts w:ascii="Times New Roman" w:hAnsi="Times New Roman" w:eastAsia="宋体" w:cs="Times New Roman"/>
          <w:szCs w:val="21"/>
        </w:rPr>
        <w:t>202</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年</w:t>
      </w:r>
      <w:r>
        <w:rPr>
          <w:rFonts w:hint="eastAsia" w:ascii="Times New Roman" w:hAnsi="Times New Roman" w:eastAsia="宋体" w:cs="Times New Roman"/>
          <w:szCs w:val="21"/>
          <w:lang w:val="en-US" w:eastAsia="zh-CN"/>
        </w:rPr>
        <w:t>3</w:t>
      </w:r>
      <w:r>
        <w:rPr>
          <w:rFonts w:ascii="Times New Roman" w:hAnsi="Times New Roman" w:eastAsia="宋体" w:cs="Times New Roman"/>
          <w:szCs w:val="21"/>
        </w:rPr>
        <w:t>月，编制组完成《</w:t>
      </w:r>
      <w:r>
        <w:rPr>
          <w:rFonts w:hint="eastAsia" w:ascii="Times New Roman" w:hAnsi="Times New Roman" w:eastAsia="宋体" w:cs="Times New Roman"/>
          <w:szCs w:val="21"/>
        </w:rPr>
        <w:t>广东省辐射防护协会团体标准制修订立项申请书</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并通过立项审查。</w:t>
      </w:r>
    </w:p>
    <w:p>
      <w:pPr>
        <w:spacing w:line="360" w:lineRule="auto"/>
        <w:ind w:firstLine="420"/>
        <w:rPr>
          <w:rFonts w:ascii="Times New Roman" w:hAnsi="Times New Roman" w:eastAsia="宋体" w:cs="Times New Roman"/>
          <w:szCs w:val="21"/>
        </w:rPr>
      </w:pPr>
      <w:r>
        <w:rPr>
          <w:rFonts w:ascii="Times New Roman" w:hAnsi="Times New Roman" w:eastAsia="宋体" w:cs="Times New Roman"/>
          <w:szCs w:val="21"/>
        </w:rPr>
        <w:t>202</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年</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月，编制组完成本标准草案初稿。</w:t>
      </w:r>
    </w:p>
    <w:p>
      <w:pPr>
        <w:spacing w:line="360" w:lineRule="auto"/>
        <w:ind w:firstLine="420"/>
        <w:rPr>
          <w:rFonts w:ascii="Times New Roman" w:hAnsi="Times New Roman" w:eastAsia="宋体" w:cs="Times New Roman"/>
          <w:szCs w:val="21"/>
        </w:rPr>
      </w:pPr>
      <w:r>
        <w:rPr>
          <w:rFonts w:ascii="Times New Roman" w:hAnsi="Times New Roman" w:eastAsia="宋体" w:cs="Times New Roman"/>
          <w:szCs w:val="21"/>
        </w:rPr>
        <w:t>202</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年</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月，编制组完成本标准</w:t>
      </w:r>
      <w:r>
        <w:rPr>
          <w:rFonts w:hint="eastAsia" w:ascii="Times New Roman" w:hAnsi="Times New Roman" w:eastAsia="宋体" w:cs="Times New Roman"/>
          <w:szCs w:val="21"/>
          <w:lang w:val="en-US" w:eastAsia="zh-CN"/>
        </w:rPr>
        <w:t>和编制说明征求意见稿，提交</w:t>
      </w:r>
      <w:r>
        <w:rPr>
          <w:rFonts w:hint="eastAsia" w:ascii="Times New Roman" w:hAnsi="Times New Roman" w:eastAsia="宋体" w:cs="Times New Roman"/>
          <w:szCs w:val="21"/>
        </w:rPr>
        <w:t>广东省辐射防护协会</w:t>
      </w:r>
      <w:r>
        <w:rPr>
          <w:rFonts w:hint="eastAsia" w:ascii="Times New Roman" w:hAnsi="Times New Roman" w:eastAsia="宋体" w:cs="Times New Roman"/>
          <w:szCs w:val="21"/>
          <w:lang w:val="en-US" w:eastAsia="zh-CN"/>
        </w:rPr>
        <w:t>组织</w:t>
      </w:r>
      <w:r>
        <w:rPr>
          <w:rFonts w:hint="eastAsia" w:ascii="Times New Roman" w:hAnsi="Times New Roman" w:eastAsia="宋体" w:cs="Times New Roman"/>
          <w:szCs w:val="21"/>
        </w:rPr>
        <w:t>开展团体标准意见征求工作</w:t>
      </w:r>
      <w:r>
        <w:rPr>
          <w:rFonts w:ascii="Times New Roman" w:hAnsi="Times New Roman" w:eastAsia="宋体" w:cs="Times New Roman"/>
          <w:szCs w:val="21"/>
        </w:rPr>
        <w:t>。</w:t>
      </w:r>
    </w:p>
    <w:p>
      <w:pPr>
        <w:pStyle w:val="3"/>
        <w:rPr>
          <w:rFonts w:ascii="黑体" w:hAnsi="黑体" w:eastAsia="黑体"/>
          <w:b w:val="0"/>
        </w:rPr>
      </w:pPr>
      <w:bookmarkStart w:id="12" w:name="_Toc6008"/>
      <w:bookmarkStart w:id="13" w:name="_Toc7281"/>
      <w:r>
        <w:rPr>
          <w:rFonts w:hint="eastAsia" w:ascii="黑体" w:hAnsi="黑体" w:eastAsia="黑体"/>
          <w:b w:val="0"/>
        </w:rPr>
        <w:t>2.3  主要起草人及其所做的工作</w:t>
      </w:r>
      <w:bookmarkEnd w:id="12"/>
      <w:bookmarkEnd w:id="13"/>
    </w:p>
    <w:p>
      <w:pPr>
        <w:spacing w:line="360" w:lineRule="auto"/>
        <w:ind w:firstLine="420"/>
        <w:rPr>
          <w:rFonts w:ascii="宋体" w:hAnsi="宋体" w:eastAsia="宋体"/>
        </w:rPr>
      </w:pPr>
      <w:r>
        <w:rPr>
          <w:rFonts w:ascii="宋体" w:hAnsi="宋体" w:eastAsia="宋体"/>
          <w:szCs w:val="21"/>
        </w:rPr>
        <w:t>主要起草</w:t>
      </w:r>
      <w:r>
        <w:rPr>
          <w:rFonts w:hint="eastAsia" w:ascii="宋体" w:hAnsi="宋体" w:eastAsia="宋体"/>
          <w:szCs w:val="21"/>
        </w:rPr>
        <w:t>人</w:t>
      </w:r>
      <w:r>
        <w:rPr>
          <w:rFonts w:ascii="宋体" w:hAnsi="宋体" w:eastAsia="宋体"/>
        </w:rPr>
        <w:t>负责或参与了</w:t>
      </w:r>
      <w:r>
        <w:rPr>
          <w:rFonts w:hint="eastAsia" w:ascii="宋体" w:hAnsi="宋体" w:eastAsia="宋体"/>
          <w:lang w:val="en-US" w:eastAsia="zh-CN"/>
        </w:rPr>
        <w:t>本</w:t>
      </w:r>
      <w:r>
        <w:rPr>
          <w:rFonts w:ascii="宋体" w:hAnsi="宋体" w:eastAsia="宋体"/>
        </w:rPr>
        <w:t>标准</w:t>
      </w:r>
      <w:r>
        <w:rPr>
          <w:rFonts w:hint="eastAsia" w:ascii="宋体" w:hAnsi="宋体" w:eastAsia="宋体"/>
          <w:lang w:val="en-US" w:eastAsia="zh-CN"/>
        </w:rPr>
        <w:t>立项申请</w:t>
      </w:r>
      <w:r>
        <w:rPr>
          <w:rFonts w:ascii="宋体" w:hAnsi="宋体" w:eastAsia="宋体"/>
        </w:rPr>
        <w:t>表</w:t>
      </w:r>
      <w:r>
        <w:rPr>
          <w:rFonts w:hint="eastAsia" w:ascii="宋体" w:hAnsi="宋体" w:eastAsia="宋体"/>
          <w:lang w:val="en-US" w:eastAsia="zh-CN"/>
        </w:rPr>
        <w:t>编写</w:t>
      </w:r>
      <w:r>
        <w:rPr>
          <w:rFonts w:ascii="宋体" w:hAnsi="宋体" w:eastAsia="宋体"/>
        </w:rPr>
        <w:t>、资料收集、调研、数据整理、</w:t>
      </w:r>
      <w:r>
        <w:rPr>
          <w:rFonts w:hint="eastAsia" w:ascii="宋体" w:hAnsi="宋体" w:eastAsia="宋体"/>
          <w:lang w:val="en-US" w:eastAsia="zh-CN"/>
        </w:rPr>
        <w:t>标准</w:t>
      </w:r>
      <w:r>
        <w:rPr>
          <w:rFonts w:ascii="宋体" w:hAnsi="宋体" w:eastAsia="宋体"/>
        </w:rPr>
        <w:t>编制、修改及审核工作</w:t>
      </w:r>
      <w:r>
        <w:rPr>
          <w:rFonts w:hint="eastAsia" w:ascii="宋体" w:hAnsi="宋体" w:eastAsia="宋体"/>
          <w:lang w:eastAsia="zh-CN"/>
        </w:rPr>
        <w:t>，</w:t>
      </w:r>
      <w:r>
        <w:rPr>
          <w:rFonts w:hint="eastAsia" w:ascii="宋体" w:hAnsi="宋体" w:eastAsia="宋体"/>
          <w:lang w:val="en-US" w:eastAsia="zh-CN"/>
        </w:rPr>
        <w:t>主要起草人</w:t>
      </w:r>
      <w:r>
        <w:rPr>
          <w:rFonts w:ascii="Times New Roman" w:hAnsi="Times New Roman" w:eastAsia="宋体" w:cs="Times New Roman"/>
        </w:rPr>
        <w:t>及主要工作</w:t>
      </w:r>
      <w:r>
        <w:rPr>
          <w:rFonts w:hint="eastAsia" w:ascii="Times New Roman" w:hAnsi="Times New Roman" w:eastAsia="宋体" w:cs="Times New Roman"/>
          <w:lang w:val="en-US" w:eastAsia="zh-CN"/>
        </w:rPr>
        <w:t>见表2-1</w:t>
      </w:r>
      <w:r>
        <w:rPr>
          <w:rFonts w:ascii="宋体" w:hAnsi="宋体" w:eastAsia="宋体"/>
        </w:rPr>
        <w:t>。</w:t>
      </w:r>
    </w:p>
    <w:p>
      <w:pPr>
        <w:spacing w:line="360" w:lineRule="auto"/>
        <w:jc w:val="center"/>
        <w:rPr>
          <w:rFonts w:ascii="Times New Roman" w:hAnsi="Times New Roman" w:eastAsia="宋体" w:cs="Times New Roman"/>
          <w:color w:val="auto"/>
          <w:szCs w:val="21"/>
        </w:rPr>
      </w:pPr>
      <w:r>
        <w:rPr>
          <w:rFonts w:ascii="Times New Roman" w:hAnsi="Times New Roman" w:eastAsia="宋体" w:cs="Times New Roman"/>
          <w:color w:val="auto"/>
        </w:rPr>
        <w:t>表2-1 主要起草人及主要工作</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1295"/>
        <w:gridCol w:w="1747"/>
        <w:gridCol w:w="45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top"/>
          </w:tcPr>
          <w:p>
            <w:pPr>
              <w:spacing w:line="240" w:lineRule="atLeast"/>
              <w:jc w:val="center"/>
              <w:rPr>
                <w:rFonts w:hint="eastAsia"/>
                <w:sz w:val="21"/>
                <w:szCs w:val="21"/>
                <w:vertAlign w:val="baseline"/>
                <w:lang w:val="en-US" w:eastAsia="zh-CN"/>
              </w:rPr>
            </w:pPr>
            <w:r>
              <w:rPr>
                <w:rFonts w:ascii="Times New Roman" w:hAnsi="Times New Roman" w:eastAsia="宋体" w:cs="Times New Roman"/>
                <w:sz w:val="21"/>
                <w:szCs w:val="21"/>
              </w:rPr>
              <w:t>序号</w:t>
            </w:r>
          </w:p>
        </w:tc>
        <w:tc>
          <w:tcPr>
            <w:tcW w:w="1295" w:type="dxa"/>
            <w:noWrap w:val="0"/>
            <w:vAlign w:val="top"/>
          </w:tcPr>
          <w:p>
            <w:pPr>
              <w:spacing w:line="240" w:lineRule="atLeast"/>
              <w:jc w:val="center"/>
              <w:rPr>
                <w:rFonts w:hint="eastAsia"/>
                <w:sz w:val="21"/>
                <w:szCs w:val="21"/>
                <w:vertAlign w:val="baseline"/>
                <w:lang w:val="en-US" w:eastAsia="zh-CN"/>
              </w:rPr>
            </w:pPr>
            <w:r>
              <w:rPr>
                <w:rFonts w:ascii="Times New Roman" w:hAnsi="Times New Roman" w:eastAsia="宋体" w:cs="Times New Roman"/>
                <w:sz w:val="21"/>
                <w:szCs w:val="21"/>
              </w:rPr>
              <w:t>姓名</w:t>
            </w:r>
          </w:p>
        </w:tc>
        <w:tc>
          <w:tcPr>
            <w:tcW w:w="1747" w:type="dxa"/>
            <w:noWrap w:val="0"/>
            <w:vAlign w:val="top"/>
          </w:tcPr>
          <w:p>
            <w:pPr>
              <w:spacing w:line="240" w:lineRule="atLeast"/>
              <w:jc w:val="center"/>
              <w:rPr>
                <w:rFonts w:hint="eastAsia"/>
                <w:sz w:val="21"/>
                <w:szCs w:val="21"/>
                <w:vertAlign w:val="baseline"/>
                <w:lang w:val="en-US" w:eastAsia="zh-CN"/>
              </w:rPr>
            </w:pPr>
            <w:r>
              <w:rPr>
                <w:rFonts w:hint="eastAsia" w:ascii="Times New Roman" w:hAnsi="Times New Roman" w:eastAsia="宋体" w:cs="Times New Roman"/>
                <w:sz w:val="21"/>
                <w:szCs w:val="21"/>
                <w:lang w:val="en-US" w:eastAsia="zh-CN"/>
              </w:rPr>
              <w:t>职务/</w:t>
            </w:r>
            <w:r>
              <w:rPr>
                <w:rFonts w:ascii="Times New Roman" w:hAnsi="Times New Roman" w:eastAsia="宋体" w:cs="Times New Roman"/>
                <w:sz w:val="21"/>
                <w:szCs w:val="21"/>
              </w:rPr>
              <w:t>职称</w:t>
            </w:r>
          </w:p>
        </w:tc>
        <w:tc>
          <w:tcPr>
            <w:tcW w:w="4521" w:type="dxa"/>
            <w:noWrap w:val="0"/>
            <w:vAlign w:val="top"/>
          </w:tcPr>
          <w:p>
            <w:pPr>
              <w:spacing w:line="240" w:lineRule="atLeast"/>
              <w:jc w:val="center"/>
              <w:rPr>
                <w:rFonts w:hint="eastAsia"/>
                <w:sz w:val="21"/>
                <w:szCs w:val="21"/>
                <w:vertAlign w:val="baseline"/>
                <w:lang w:val="en-US" w:eastAsia="zh-CN"/>
              </w:rPr>
            </w:pPr>
            <w:r>
              <w:rPr>
                <w:rFonts w:ascii="Times New Roman" w:hAnsi="Times New Roman" w:eastAsia="宋体" w:cs="Times New Roman"/>
                <w:sz w:val="21"/>
                <w:szCs w:val="21"/>
              </w:rPr>
              <w:t>主要工作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1</w:t>
            </w:r>
          </w:p>
        </w:tc>
        <w:tc>
          <w:tcPr>
            <w:tcW w:w="1295"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王战勇</w:t>
            </w:r>
          </w:p>
        </w:tc>
        <w:tc>
          <w:tcPr>
            <w:tcW w:w="1747"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辐射中心主任</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标准负责人，主持标准编写，审核标准文本和编制说明。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2</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汤泽平</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w:t>
            </w:r>
            <w:r>
              <w:rPr>
                <w:rFonts w:hint="eastAsia" w:ascii="宋体" w:hAnsi="宋体" w:eastAsia="宋体"/>
                <w:szCs w:val="21"/>
                <w:lang w:val="en-US" w:eastAsia="zh-CN"/>
              </w:rPr>
              <w:t>立项申请</w:t>
            </w:r>
            <w:r>
              <w:rPr>
                <w:rFonts w:ascii="宋体" w:hAnsi="宋体" w:eastAsia="宋体"/>
                <w:szCs w:val="21"/>
              </w:rPr>
              <w:t>表</w:t>
            </w:r>
            <w:r>
              <w:rPr>
                <w:rFonts w:hint="eastAsia" w:ascii="宋体" w:hAnsi="宋体" w:eastAsia="宋体"/>
                <w:szCs w:val="21"/>
                <w:lang w:val="en-US" w:eastAsia="zh-CN"/>
              </w:rPr>
              <w:t>编写</w:t>
            </w:r>
            <w:r>
              <w:rPr>
                <w:rFonts w:ascii="宋体" w:hAnsi="宋体" w:eastAsia="宋体"/>
                <w:szCs w:val="21"/>
              </w:rPr>
              <w:t>、资料收集、</w:t>
            </w:r>
            <w:r>
              <w:rPr>
                <w:rFonts w:hint="eastAsia" w:ascii="宋体" w:hAnsi="宋体" w:eastAsia="宋体"/>
                <w:szCs w:val="21"/>
                <w:lang w:val="en-US" w:eastAsia="zh-CN"/>
              </w:rPr>
              <w:t>标准</w:t>
            </w:r>
            <w:r>
              <w:rPr>
                <w:rFonts w:ascii="宋体" w:hAnsi="宋体" w:eastAsia="宋体"/>
                <w:szCs w:val="21"/>
              </w:rPr>
              <w:t>编制</w:t>
            </w:r>
            <w:r>
              <w:rPr>
                <w:rFonts w:ascii="Times New Roman" w:hAnsi="Times New Roman" w:eastAsia="宋体"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3</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李思航</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w:t>
            </w:r>
            <w:r>
              <w:rPr>
                <w:rFonts w:ascii="宋体" w:hAnsi="宋体" w:eastAsia="宋体"/>
                <w:szCs w:val="21"/>
              </w:rPr>
              <w:t>资料收集、</w:t>
            </w:r>
            <w:r>
              <w:rPr>
                <w:rFonts w:ascii="Times New Roman" w:hAnsi="Times New Roman" w:eastAsia="宋体" w:cs="Times New Roman"/>
                <w:sz w:val="21"/>
                <w:szCs w:val="21"/>
              </w:rPr>
              <w:t>标准部分内容的编制。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温海涛</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w:t>
            </w:r>
            <w:r>
              <w:rPr>
                <w:rFonts w:ascii="宋体" w:hAnsi="宋体" w:eastAsia="宋体"/>
                <w:szCs w:val="21"/>
              </w:rPr>
              <w:t>资料收集、</w:t>
            </w:r>
            <w:r>
              <w:rPr>
                <w:rFonts w:ascii="Times New Roman" w:hAnsi="Times New Roman" w:eastAsia="宋体" w:cs="Times New Roman"/>
                <w:sz w:val="21"/>
                <w:szCs w:val="21"/>
              </w:rPr>
              <w:t>标准部分内容的编制。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朱  琨</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正高级工程师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6</w:t>
            </w:r>
          </w:p>
        </w:tc>
        <w:tc>
          <w:tcPr>
            <w:tcW w:w="1295" w:type="dxa"/>
            <w:noWrap w:val="0"/>
            <w:vAlign w:val="center"/>
          </w:tcPr>
          <w:p>
            <w:pPr>
              <w:spacing w:line="240" w:lineRule="atLeast"/>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郭祖美</w:t>
            </w:r>
          </w:p>
        </w:tc>
        <w:tc>
          <w:tcPr>
            <w:tcW w:w="1747" w:type="dxa"/>
            <w:noWrap w:val="0"/>
            <w:vAlign w:val="center"/>
          </w:tcPr>
          <w:p>
            <w:pPr>
              <w:spacing w:line="240" w:lineRule="atLeast"/>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ascii="Times New Roman" w:hAnsi="Times New Roman" w:eastAsia="宋体" w:cs="Times New Roman"/>
                <w:sz w:val="21"/>
                <w:szCs w:val="21"/>
              </w:rPr>
            </w:pPr>
            <w:r>
              <w:rPr>
                <w:rFonts w:ascii="Times New Roman" w:hAnsi="Times New Roman" w:eastAsia="宋体" w:cs="Times New Roman"/>
                <w:sz w:val="21"/>
                <w:szCs w:val="21"/>
              </w:rPr>
              <w:t>参与标准部分内容的编制、调研。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7</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胡可义</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8</w:t>
            </w:r>
          </w:p>
        </w:tc>
        <w:tc>
          <w:tcPr>
            <w:tcW w:w="1295"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何海明</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9</w:t>
            </w:r>
          </w:p>
        </w:tc>
        <w:tc>
          <w:tcPr>
            <w:tcW w:w="1295"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李健晖</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tc>
        <w:tc>
          <w:tcPr>
            <w:tcW w:w="1295"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李华琴</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李占优</w:t>
            </w:r>
          </w:p>
        </w:tc>
        <w:tc>
          <w:tcPr>
            <w:tcW w:w="1747"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w:t>
            </w:r>
          </w:p>
        </w:tc>
        <w:tc>
          <w:tcPr>
            <w:tcW w:w="1295"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温丽容</w:t>
            </w:r>
          </w:p>
        </w:tc>
        <w:tc>
          <w:tcPr>
            <w:tcW w:w="1747"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hint="eastAsia" w:ascii="Times New Roman" w:hAnsi="Times New Roman" w:eastAsia="宋体" w:cs="Times New Roman"/>
                <w:sz w:val="21"/>
                <w:szCs w:val="21"/>
                <w:lang w:val="en-US" w:eastAsia="zh-CN"/>
              </w:rPr>
            </w:pPr>
            <w:r>
              <w:rPr>
                <w:rFonts w:ascii="Times New Roman" w:hAnsi="Times New Roman" w:eastAsia="宋体" w:cs="Times New Roman"/>
                <w:sz w:val="21"/>
                <w:szCs w:val="21"/>
              </w:rPr>
              <w:t>参与标准部分内容的编制。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w:t>
            </w:r>
          </w:p>
        </w:tc>
        <w:tc>
          <w:tcPr>
            <w:tcW w:w="1295" w:type="dxa"/>
            <w:noWrap w:val="0"/>
            <w:vAlign w:val="center"/>
          </w:tcPr>
          <w:p>
            <w:pPr>
              <w:spacing w:line="24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彭碧琪</w:t>
            </w:r>
          </w:p>
        </w:tc>
        <w:tc>
          <w:tcPr>
            <w:tcW w:w="1747" w:type="dxa"/>
            <w:noWrap w:val="0"/>
            <w:vAlign w:val="center"/>
          </w:tcPr>
          <w:p>
            <w:pPr>
              <w:spacing w:line="240" w:lineRule="atLeast"/>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工程师</w:t>
            </w:r>
          </w:p>
        </w:tc>
        <w:tc>
          <w:tcPr>
            <w:tcW w:w="4521" w:type="dxa"/>
            <w:noWrap w:val="0"/>
            <w:vAlign w:val="center"/>
          </w:tcPr>
          <w:p>
            <w:pPr>
              <w:spacing w:line="240" w:lineRule="atLeast"/>
              <w:jc w:val="center"/>
              <w:rPr>
                <w:rFonts w:ascii="Times New Roman" w:hAnsi="Times New Roman" w:eastAsia="宋体" w:cs="Times New Roman"/>
                <w:sz w:val="21"/>
                <w:szCs w:val="21"/>
              </w:rPr>
            </w:pPr>
            <w:r>
              <w:rPr>
                <w:rFonts w:ascii="Times New Roman" w:hAnsi="Times New Roman" w:eastAsia="宋体" w:cs="Times New Roman"/>
                <w:sz w:val="21"/>
                <w:szCs w:val="21"/>
              </w:rPr>
              <w:t>参与标准部分内容的编制。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w:t>
            </w:r>
          </w:p>
        </w:tc>
        <w:tc>
          <w:tcPr>
            <w:tcW w:w="1295" w:type="dxa"/>
            <w:noWrap w:val="0"/>
            <w:vAlign w:val="center"/>
          </w:tcPr>
          <w:p>
            <w:pPr>
              <w:spacing w:line="24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孙捷颖</w:t>
            </w:r>
          </w:p>
        </w:tc>
        <w:tc>
          <w:tcPr>
            <w:tcW w:w="1747" w:type="dxa"/>
            <w:noWrap w:val="0"/>
            <w:vAlign w:val="center"/>
          </w:tcPr>
          <w:p>
            <w:pPr>
              <w:spacing w:line="240" w:lineRule="atLeast"/>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工程师</w:t>
            </w:r>
          </w:p>
        </w:tc>
        <w:tc>
          <w:tcPr>
            <w:tcW w:w="4521" w:type="dxa"/>
            <w:noWrap w:val="0"/>
            <w:vAlign w:val="center"/>
          </w:tcPr>
          <w:p>
            <w:pPr>
              <w:spacing w:line="240" w:lineRule="atLeast"/>
              <w:jc w:val="center"/>
              <w:rPr>
                <w:rFonts w:ascii="Times New Roman" w:hAnsi="Times New Roman" w:eastAsia="宋体" w:cs="Times New Roman"/>
                <w:sz w:val="21"/>
                <w:szCs w:val="21"/>
              </w:rPr>
            </w:pPr>
            <w:r>
              <w:rPr>
                <w:rFonts w:ascii="Times New Roman" w:hAnsi="Times New Roman" w:eastAsia="宋体" w:cs="Times New Roman"/>
                <w:sz w:val="21"/>
                <w:szCs w:val="21"/>
              </w:rPr>
              <w:t>参与标准部分内容的编制。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noWrap w:val="0"/>
            <w:vAlign w:val="center"/>
          </w:tcPr>
          <w:p>
            <w:pPr>
              <w:spacing w:line="240" w:lineRule="atLeast"/>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15</w:t>
            </w:r>
          </w:p>
        </w:tc>
        <w:tc>
          <w:tcPr>
            <w:tcW w:w="1295" w:type="dxa"/>
            <w:noWrap w:val="0"/>
            <w:vAlign w:val="center"/>
          </w:tcPr>
          <w:p>
            <w:pPr>
              <w:spacing w:line="240" w:lineRule="atLeast"/>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宁  健</w:t>
            </w:r>
          </w:p>
        </w:tc>
        <w:tc>
          <w:tcPr>
            <w:tcW w:w="1747" w:type="dxa"/>
            <w:noWrap w:val="0"/>
            <w:vAlign w:val="center"/>
          </w:tcPr>
          <w:p>
            <w:pPr>
              <w:spacing w:line="240" w:lineRule="atLeast"/>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高级工程师</w:t>
            </w:r>
          </w:p>
        </w:tc>
        <w:tc>
          <w:tcPr>
            <w:tcW w:w="4521" w:type="dxa"/>
            <w:noWrap w:val="0"/>
            <w:vAlign w:val="center"/>
          </w:tcPr>
          <w:p>
            <w:pPr>
              <w:spacing w:line="240" w:lineRule="atLeast"/>
              <w:jc w:val="center"/>
              <w:rPr>
                <w:rFonts w:ascii="Times New Roman" w:hAnsi="Times New Roman" w:eastAsia="宋体" w:cs="Times New Roman"/>
                <w:sz w:val="21"/>
                <w:szCs w:val="21"/>
              </w:rPr>
            </w:pPr>
            <w:r>
              <w:rPr>
                <w:rFonts w:ascii="Times New Roman" w:hAnsi="Times New Roman" w:eastAsia="宋体" w:cs="Times New Roman"/>
                <w:sz w:val="21"/>
                <w:szCs w:val="21"/>
              </w:rPr>
              <w:t>参与标准部分内容的编制、调研</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rPr>
              <w:t>审核</w:t>
            </w:r>
            <w:r>
              <w:rPr>
                <w:rFonts w:hint="eastAsia" w:ascii="Times New Roman" w:hAnsi="Times New Roman" w:eastAsia="宋体" w:cs="Times New Roman"/>
                <w:sz w:val="21"/>
                <w:szCs w:val="21"/>
                <w:lang w:val="en-US" w:eastAsia="zh-CN"/>
              </w:rPr>
              <w:t>团体</w:t>
            </w:r>
            <w:r>
              <w:rPr>
                <w:rFonts w:ascii="Times New Roman" w:hAnsi="Times New Roman" w:eastAsia="宋体" w:cs="Times New Roman"/>
                <w:sz w:val="21"/>
                <w:szCs w:val="21"/>
              </w:rPr>
              <w:t>标准文本和编制说明</w:t>
            </w:r>
          </w:p>
        </w:tc>
      </w:tr>
    </w:tbl>
    <w:p>
      <w:pPr>
        <w:pStyle w:val="2"/>
        <w:rPr>
          <w:rFonts w:ascii="黑体" w:hAnsi="黑体" w:eastAsia="黑体"/>
          <w:b w:val="0"/>
          <w:sz w:val="28"/>
          <w:szCs w:val="28"/>
        </w:rPr>
      </w:pPr>
      <w:bookmarkStart w:id="14" w:name="_Toc14987"/>
      <w:bookmarkStart w:id="15" w:name="_Toc2976"/>
      <w:r>
        <w:rPr>
          <w:rFonts w:hint="eastAsia" w:ascii="黑体" w:hAnsi="黑体" w:eastAsia="黑体"/>
          <w:b w:val="0"/>
          <w:sz w:val="28"/>
          <w:szCs w:val="28"/>
        </w:rPr>
        <w:t>3  标准制订的基本原则、技术路线和主要内容</w:t>
      </w:r>
      <w:bookmarkEnd w:id="14"/>
      <w:bookmarkEnd w:id="15"/>
    </w:p>
    <w:p>
      <w:pPr>
        <w:pStyle w:val="3"/>
        <w:rPr>
          <w:rFonts w:ascii="黑体" w:hAnsi="黑体" w:eastAsia="黑体"/>
          <w:b w:val="0"/>
        </w:rPr>
      </w:pPr>
      <w:bookmarkStart w:id="16" w:name="_Toc21392"/>
      <w:bookmarkStart w:id="17" w:name="_Toc11777"/>
      <w:r>
        <w:rPr>
          <w:rFonts w:hint="eastAsia" w:ascii="黑体" w:hAnsi="黑体" w:eastAsia="黑体"/>
          <w:b w:val="0"/>
        </w:rPr>
        <w:t>3.1  标准制订的基本原则</w:t>
      </w:r>
      <w:bookmarkEnd w:id="16"/>
      <w:bookmarkEnd w:id="17"/>
    </w:p>
    <w:p>
      <w:pPr>
        <w:spacing w:line="360" w:lineRule="auto"/>
        <w:rPr>
          <w:rFonts w:ascii="黑体" w:hAnsi="黑体" w:eastAsia="黑体"/>
        </w:rPr>
      </w:pPr>
      <w:r>
        <w:rPr>
          <w:rFonts w:hint="eastAsia" w:ascii="黑体" w:hAnsi="黑体" w:eastAsia="黑体"/>
        </w:rPr>
        <w:t>3.1.1  科学性原则</w:t>
      </w:r>
    </w:p>
    <w:p>
      <w:pPr>
        <w:spacing w:line="360" w:lineRule="auto"/>
        <w:ind w:firstLine="420"/>
        <w:rPr>
          <w:rFonts w:ascii="Times New Roman" w:hAnsi="Times New Roman" w:eastAsia="宋体" w:cs="Times New Roman"/>
        </w:rPr>
      </w:pPr>
      <w:r>
        <w:rPr>
          <w:rFonts w:ascii="Times New Roman" w:hAnsi="Times New Roman" w:eastAsia="宋体" w:cs="Times New Roman"/>
        </w:rPr>
        <w:t>本技术规范依据《标准化工作导则 第1部分：标准化文件的结构和起草规则》（GB/T1.1-2020），在总结现有文件资料及电磁辐射环境自动监测的实际应用经验基础上编写，同时考虑与已颁布的各有关标准、规范内容相适应。</w:t>
      </w:r>
    </w:p>
    <w:p>
      <w:pPr>
        <w:spacing w:line="360" w:lineRule="auto"/>
        <w:rPr>
          <w:rFonts w:ascii="黑体" w:hAnsi="黑体" w:eastAsia="黑体"/>
        </w:rPr>
      </w:pPr>
      <w:r>
        <w:rPr>
          <w:rFonts w:hint="eastAsia" w:ascii="黑体" w:hAnsi="黑体" w:eastAsia="黑体"/>
        </w:rPr>
        <w:t>3.1.2  系统性原则</w:t>
      </w:r>
    </w:p>
    <w:p>
      <w:pPr>
        <w:spacing w:line="360" w:lineRule="auto"/>
        <w:ind w:firstLine="420"/>
        <w:rPr>
          <w:rFonts w:ascii="宋体" w:hAnsi="宋体" w:eastAsia="宋体"/>
        </w:rPr>
      </w:pPr>
      <w:r>
        <w:rPr>
          <w:rFonts w:hint="eastAsia" w:ascii="宋体" w:hAnsi="宋体" w:eastAsia="宋体"/>
        </w:rPr>
        <w:t>对电磁辐射环境自动监测站组成和功能做出明确界定。</w:t>
      </w:r>
    </w:p>
    <w:p>
      <w:pPr>
        <w:spacing w:line="360" w:lineRule="auto"/>
        <w:rPr>
          <w:rFonts w:ascii="黑体" w:hAnsi="黑体" w:eastAsia="黑体"/>
        </w:rPr>
      </w:pPr>
      <w:r>
        <w:rPr>
          <w:rFonts w:hint="eastAsia" w:ascii="黑体" w:hAnsi="黑体" w:eastAsia="黑体"/>
        </w:rPr>
        <w:t>3.1.3  实用性原则</w:t>
      </w:r>
    </w:p>
    <w:p>
      <w:pPr>
        <w:spacing w:line="360" w:lineRule="auto"/>
        <w:ind w:firstLine="420"/>
        <w:rPr>
          <w:rFonts w:ascii="宋体" w:hAnsi="宋体" w:eastAsia="宋体"/>
        </w:rPr>
      </w:pPr>
      <w:r>
        <w:rPr>
          <w:rFonts w:hint="eastAsia" w:ascii="宋体" w:hAnsi="宋体" w:eastAsia="宋体"/>
        </w:rPr>
        <w:t>标准编制过程中，注重解决实际问题，可操作性强，易于实施。</w:t>
      </w:r>
    </w:p>
    <w:p>
      <w:pPr>
        <w:spacing w:line="360" w:lineRule="auto"/>
        <w:rPr>
          <w:rFonts w:ascii="黑体" w:hAnsi="黑体" w:eastAsia="黑体"/>
        </w:rPr>
      </w:pPr>
      <w:r>
        <w:rPr>
          <w:rFonts w:hint="eastAsia" w:ascii="黑体" w:hAnsi="黑体" w:eastAsia="黑体"/>
        </w:rPr>
        <w:t xml:space="preserve">3.1.4  </w:t>
      </w:r>
      <w:r>
        <w:rPr>
          <w:rFonts w:hint="eastAsia" w:ascii="黑体" w:hAnsi="黑体" w:eastAsia="黑体"/>
          <w:lang w:val="en-US" w:eastAsia="zh-CN"/>
        </w:rPr>
        <w:t>广</w:t>
      </w:r>
      <w:r>
        <w:rPr>
          <w:rFonts w:hint="eastAsia" w:ascii="黑体" w:hAnsi="黑体" w:eastAsia="黑体"/>
        </w:rPr>
        <w:t>覆盖原则</w:t>
      </w:r>
    </w:p>
    <w:p>
      <w:pPr>
        <w:spacing w:line="360" w:lineRule="auto"/>
        <w:ind w:firstLine="420"/>
        <w:rPr>
          <w:rFonts w:ascii="Times New Roman" w:hAnsi="Times New Roman" w:eastAsia="宋体" w:cs="Times New Roman"/>
        </w:rPr>
      </w:pPr>
      <w:r>
        <w:rPr>
          <w:rFonts w:ascii="Times New Roman" w:hAnsi="Times New Roman" w:eastAsia="宋体" w:cs="Times New Roman"/>
        </w:rPr>
        <w:t xml:space="preserve">2002年-2003年国际肿痛研究机构（IARC）发布了《非电离辐射，第一部分：静态、极低频（ELF）电场和磁场》，国际非电离辐射防护协会（ICNIRP）发布了《曝露于静态和低频电磁场，生物效应和健康后果（0~100kHz）》和《限值时变电场、磁场和电磁场（300GHz以下）曝露的导则》，IEEE 标准协调委员会发布了《关于人体曝露到电磁场（0~3kHz）的安全水平的IEEE标准》等研究成果。 </w:t>
      </w:r>
    </w:p>
    <w:p>
      <w:pPr>
        <w:spacing w:line="360" w:lineRule="auto"/>
        <w:ind w:firstLine="420"/>
        <w:rPr>
          <w:rFonts w:ascii="Times New Roman" w:hAnsi="Times New Roman" w:eastAsia="宋体" w:cs="Times New Roman"/>
        </w:rPr>
      </w:pPr>
      <w:r>
        <w:rPr>
          <w:rFonts w:ascii="Times New Roman" w:hAnsi="Times New Roman" w:eastAsia="宋体" w:cs="Times New Roman"/>
        </w:rPr>
        <w:t xml:space="preserve">2007年6月世界卫生组织（WHO）正式发布《电磁场和公众健康：极低频场曝露（Fast Sheet No.322）》和《极低频场环境健康准则（EHC No.238）》。 </w:t>
      </w:r>
    </w:p>
    <w:p>
      <w:pPr>
        <w:spacing w:line="360" w:lineRule="auto"/>
        <w:ind w:firstLine="420"/>
        <w:rPr>
          <w:rFonts w:ascii="Times New Roman" w:hAnsi="Times New Roman" w:eastAsia="宋体" w:cs="Times New Roman"/>
        </w:rPr>
      </w:pPr>
      <w:r>
        <w:rPr>
          <w:rFonts w:ascii="Times New Roman" w:hAnsi="Times New Roman" w:eastAsia="宋体" w:cs="Times New Roman"/>
        </w:rPr>
        <w:t>2011年6月，在北京大学召开的工频电磁场与人居健康安全国际研讨会上，世界卫生组织官员明确指出，电力设施的工作频率属于极低频范围，在电力设施周围存在感应电场和感应磁场，而不是电磁“辐射”。标准编制过程中，已考虑到极低频非电磁辐射的问题，故参考ICNIRP 2020年发布的“ICNIRP GUIDELINES for limiting exposure to electromagnetic fields(100kHz to 300GHz)”标准，考虑100kHz到300GHz发射频率的电磁辐射</w:t>
      </w:r>
      <w:r>
        <w:rPr>
          <w:rFonts w:hint="eastAsia" w:ascii="Times New Roman" w:hAnsi="Times New Roman" w:eastAsia="宋体" w:cs="Times New Roman"/>
        </w:rPr>
        <w:t>为主要</w:t>
      </w:r>
      <w:r>
        <w:rPr>
          <w:rFonts w:ascii="Times New Roman" w:hAnsi="Times New Roman" w:eastAsia="宋体" w:cs="Times New Roman"/>
        </w:rPr>
        <w:t>问题</w:t>
      </w:r>
      <w:r>
        <w:rPr>
          <w:rFonts w:hint="eastAsia" w:ascii="Times New Roman" w:hAnsi="Times New Roman" w:eastAsia="宋体" w:cs="Times New Roman"/>
        </w:rPr>
        <w:t>，同时兼顾我省存在的交流输变电的主要监测因子</w:t>
      </w:r>
      <w:r>
        <w:rPr>
          <w:rFonts w:ascii="Times New Roman" w:hAnsi="Times New Roman" w:eastAsia="宋体" w:cs="Times New Roman"/>
        </w:rPr>
        <w:t>。</w:t>
      </w:r>
    </w:p>
    <w:p>
      <w:pPr>
        <w:spacing w:line="360" w:lineRule="auto"/>
        <w:ind w:firstLine="420"/>
        <w:rPr>
          <w:rFonts w:ascii="Times New Roman" w:hAnsi="Times New Roman" w:eastAsia="宋体" w:cs="Times New Roman"/>
        </w:rPr>
      </w:pPr>
      <w:r>
        <w:rPr>
          <w:rFonts w:hint="default" w:ascii="Times New Roman" w:hAnsi="Times New Roman" w:eastAsia="宋体" w:cs="Times New Roman"/>
          <w:lang w:val="en-US" w:eastAsia="zh-CN"/>
        </w:rPr>
        <w:t>因此本标准</w:t>
      </w:r>
      <w:r>
        <w:rPr>
          <w:rFonts w:hint="default" w:ascii="Times New Roman" w:hAnsi="Times New Roman" w:eastAsia="宋体" w:cs="Times New Roman"/>
          <w:kern w:val="2"/>
          <w:sz w:val="21"/>
          <w:lang w:val="en-US" w:eastAsia="zh-CN" w:bidi="ar-SA"/>
        </w:rPr>
        <w:t>适用于电磁环境质量和电磁辐射设施周围电磁辐射环境的自动监测，电磁环境质量监测频率为1Hz~6GHz，电磁辐射设施包括交流输变电工程、广播电视发射台、移动通信基站和雷达等</w:t>
      </w:r>
      <w:r>
        <w:rPr>
          <w:rFonts w:hint="eastAsia" w:ascii="Times New Roman" w:hAnsi="Times New Roman" w:eastAsia="宋体" w:cs="Times New Roman"/>
          <w:kern w:val="2"/>
          <w:sz w:val="21"/>
          <w:lang w:val="en-US" w:eastAsia="zh-CN" w:bidi="ar-SA"/>
        </w:rPr>
        <w:t>。</w:t>
      </w:r>
    </w:p>
    <w:p>
      <w:pPr>
        <w:pStyle w:val="3"/>
        <w:rPr>
          <w:rFonts w:ascii="黑体" w:hAnsi="黑体" w:eastAsia="黑体"/>
          <w:b w:val="0"/>
        </w:rPr>
      </w:pPr>
      <w:bookmarkStart w:id="18" w:name="_Toc20472"/>
      <w:bookmarkStart w:id="19" w:name="_Toc20098"/>
      <w:r>
        <w:rPr>
          <w:rFonts w:hint="eastAsia" w:ascii="黑体" w:hAnsi="黑体" w:eastAsia="黑体"/>
          <w:b w:val="0"/>
        </w:rPr>
        <w:t>3.2  标准制订的技术路线</w:t>
      </w:r>
      <w:bookmarkEnd w:id="18"/>
      <w:bookmarkEnd w:id="19"/>
    </w:p>
    <w:p>
      <w:pPr>
        <w:spacing w:line="360" w:lineRule="auto"/>
        <w:ind w:firstLine="420"/>
        <w:rPr>
          <w:rFonts w:ascii="Times New Roman" w:hAnsi="Times New Roman" w:eastAsia="宋体" w:cs="Times New Roman"/>
        </w:rPr>
      </w:pPr>
      <w:r>
        <w:rPr>
          <w:rFonts w:ascii="Times New Roman" w:hAnsi="Times New Roman" w:eastAsia="宋体" w:cs="Times New Roman"/>
        </w:rPr>
        <w:t>本标准主要在调研国内外电磁辐射环境自动监测现状</w:t>
      </w:r>
      <w:r>
        <w:rPr>
          <w:rFonts w:hint="eastAsia" w:ascii="Times New Roman" w:hAnsi="Times New Roman" w:eastAsia="宋体" w:cs="Times New Roman"/>
          <w:lang w:val="en-US" w:eastAsia="zh-CN"/>
        </w:rPr>
        <w:t>和</w:t>
      </w:r>
      <w:r>
        <w:rPr>
          <w:rFonts w:ascii="Times New Roman" w:hAnsi="Times New Roman" w:eastAsia="宋体" w:cs="Times New Roman"/>
        </w:rPr>
        <w:t>运行情况</w:t>
      </w:r>
      <w:r>
        <w:rPr>
          <w:rFonts w:hint="eastAsia" w:ascii="Times New Roman" w:hAnsi="Times New Roman" w:eastAsia="宋体" w:cs="Times New Roman"/>
          <w:lang w:val="en-US" w:eastAsia="zh-CN"/>
        </w:rPr>
        <w:t>以及</w:t>
      </w:r>
      <w:r>
        <w:rPr>
          <w:rFonts w:ascii="Times New Roman" w:hAnsi="Times New Roman" w:eastAsia="宋体" w:cs="Times New Roman"/>
        </w:rPr>
        <w:t>省内其他环境</w:t>
      </w:r>
      <w:r>
        <w:rPr>
          <w:rFonts w:hint="eastAsia" w:ascii="Times New Roman" w:hAnsi="Times New Roman" w:eastAsia="宋体" w:cs="Times New Roman"/>
          <w:lang w:val="en-US" w:eastAsia="zh-CN"/>
        </w:rPr>
        <w:t>监测因子</w:t>
      </w:r>
      <w:r>
        <w:rPr>
          <w:rFonts w:ascii="Times New Roman" w:hAnsi="Times New Roman" w:eastAsia="宋体" w:cs="Times New Roman"/>
        </w:rPr>
        <w:t>自动监测现状的基础上，制定技术路线。</w:t>
      </w:r>
    </w:p>
    <w:p>
      <w:pPr>
        <w:pStyle w:val="3"/>
        <w:rPr>
          <w:rFonts w:ascii="黑体" w:hAnsi="黑体" w:eastAsia="黑体"/>
          <w:b w:val="0"/>
        </w:rPr>
      </w:pPr>
      <w:bookmarkStart w:id="20" w:name="_Toc22988"/>
      <w:bookmarkStart w:id="21" w:name="_Toc4037"/>
      <w:r>
        <w:rPr>
          <w:rFonts w:hint="eastAsia" w:ascii="黑体" w:hAnsi="黑体" w:eastAsia="黑体"/>
          <w:b w:val="0"/>
        </w:rPr>
        <w:t>3.3  标准主要内容</w:t>
      </w:r>
      <w:bookmarkEnd w:id="20"/>
      <w:bookmarkEnd w:id="21"/>
    </w:p>
    <w:p>
      <w:pPr>
        <w:spacing w:line="360" w:lineRule="auto"/>
        <w:rPr>
          <w:rFonts w:hint="eastAsia" w:ascii="黑体" w:hAnsi="黑体" w:eastAsia="黑体"/>
        </w:rPr>
      </w:pPr>
      <w:r>
        <w:rPr>
          <w:rFonts w:hint="eastAsia" w:ascii="黑体" w:hAnsi="黑体" w:eastAsia="黑体"/>
        </w:rPr>
        <w:t>3.3.1  范围</w:t>
      </w:r>
    </w:p>
    <w:p>
      <w:pPr>
        <w:pStyle w:val="24"/>
        <w:spacing w:line="360" w:lineRule="auto"/>
        <w:rPr>
          <w:rFonts w:ascii="Times New Roman"/>
        </w:rPr>
      </w:pPr>
      <w:r>
        <w:rPr>
          <w:rFonts w:ascii="Times New Roman"/>
        </w:rPr>
        <w:t>本标准规定了电磁辐射环境自动监测</w:t>
      </w:r>
      <w:r>
        <w:rPr>
          <w:rFonts w:hint="eastAsia" w:ascii="Times New Roman"/>
        </w:rPr>
        <w:t>的</w:t>
      </w:r>
      <w:r>
        <w:rPr>
          <w:rFonts w:hint="eastAsia" w:ascii="Times New Roman"/>
          <w:lang w:val="en-US" w:eastAsia="zh-CN"/>
        </w:rPr>
        <w:t>通用要求、点位布设、</w:t>
      </w:r>
      <w:r>
        <w:rPr>
          <w:rFonts w:hint="eastAsia" w:ascii="Times New Roman"/>
        </w:rPr>
        <w:t>监测系统</w:t>
      </w:r>
      <w:r>
        <w:rPr>
          <w:rFonts w:hint="eastAsia" w:ascii="Times New Roman"/>
          <w:lang w:eastAsia="zh-CN"/>
        </w:rPr>
        <w:t>、</w:t>
      </w:r>
      <w:r>
        <w:rPr>
          <w:rFonts w:hint="eastAsia" w:ascii="Times New Roman"/>
        </w:rPr>
        <w:t>数据应用</w:t>
      </w:r>
      <w:r>
        <w:rPr>
          <w:rFonts w:hint="eastAsia" w:ascii="Times New Roman"/>
          <w:lang w:eastAsia="zh-CN"/>
        </w:rPr>
        <w:t>、</w:t>
      </w:r>
      <w:r>
        <w:rPr>
          <w:rFonts w:hint="eastAsia" w:ascii="Times New Roman"/>
          <w:lang w:val="en-US" w:eastAsia="zh-CN"/>
        </w:rPr>
        <w:t>运维管理、</w:t>
      </w:r>
      <w:r>
        <w:rPr>
          <w:rFonts w:hint="eastAsia" w:ascii="Times New Roman"/>
        </w:rPr>
        <w:t>质量保证等</w:t>
      </w:r>
      <w:r>
        <w:rPr>
          <w:rFonts w:ascii="Times New Roman"/>
        </w:rPr>
        <w:t xml:space="preserve">技术要求。 </w:t>
      </w:r>
    </w:p>
    <w:p>
      <w:pPr>
        <w:pStyle w:val="24"/>
        <w:spacing w:line="360" w:lineRule="auto"/>
        <w:rPr>
          <w:rFonts w:ascii="Times New Roman" w:hAnsi="Times New Roman" w:eastAsia="宋体" w:cs="Times New Roman"/>
        </w:rPr>
      </w:pPr>
      <w:r>
        <w:rPr>
          <w:rFonts w:hint="eastAsia" w:ascii="Times New Roman" w:cs="Times New Roman"/>
          <w:lang w:val="en-US" w:eastAsia="zh-CN"/>
        </w:rPr>
        <w:t>本标准</w:t>
      </w:r>
      <w:r>
        <w:rPr>
          <w:rFonts w:hint="eastAsia" w:ascii="Times New Roman" w:hAnsi="Times New Roman" w:eastAsia="宋体" w:cs="Times New Roman"/>
          <w:lang w:val="en-US" w:eastAsia="zh-CN"/>
        </w:rPr>
        <w:t>适用于</w:t>
      </w:r>
      <w:r>
        <w:rPr>
          <w:rFonts w:hint="default" w:ascii="Times New Roman" w:hAnsi="Times New Roman" w:eastAsia="宋体" w:cs="Times New Roman"/>
          <w:color w:val="auto"/>
          <w:kern w:val="0"/>
          <w:sz w:val="21"/>
          <w:lang w:val="en-US" w:eastAsia="zh-CN" w:bidi="ar-SA"/>
        </w:rPr>
        <w:t>电磁环境质量和电磁辐射设施周围电磁辐射环境的自动监测</w:t>
      </w:r>
      <w:r>
        <w:rPr>
          <w:rFonts w:hint="eastAsia" w:ascii="Times New Roman" w:cs="Times New Roman"/>
          <w:color w:val="auto"/>
          <w:kern w:val="0"/>
          <w:sz w:val="21"/>
          <w:lang w:val="en-US" w:eastAsia="zh-CN" w:bidi="ar-SA"/>
        </w:rPr>
        <w:t>。</w:t>
      </w:r>
      <w:r>
        <w:rPr>
          <w:rFonts w:hint="default" w:ascii="Times New Roman" w:hAnsi="Times New Roman" w:eastAsia="宋体" w:cs="Times New Roman"/>
          <w:color w:val="auto"/>
          <w:kern w:val="0"/>
          <w:sz w:val="21"/>
          <w:lang w:val="en-US" w:eastAsia="zh-CN" w:bidi="ar-SA"/>
        </w:rPr>
        <w:t>电磁环境质量监测频率为1Hz~6GHz</w:t>
      </w:r>
      <w:r>
        <w:rPr>
          <w:rFonts w:hint="default" w:ascii="Times New Roman" w:hAnsi="Times New Roman" w:cs="Times New Roman"/>
          <w:color w:val="auto"/>
          <w:kern w:val="0"/>
          <w:sz w:val="21"/>
          <w:lang w:val="en-US" w:eastAsia="zh-CN" w:bidi="ar-SA"/>
        </w:rPr>
        <w:t>，</w:t>
      </w:r>
      <w:r>
        <w:rPr>
          <w:rFonts w:hint="default" w:ascii="Times New Roman" w:hAnsi="Times New Roman" w:eastAsia="宋体" w:cs="Times New Roman"/>
          <w:color w:val="auto"/>
          <w:kern w:val="0"/>
          <w:sz w:val="21"/>
          <w:lang w:val="en-US" w:eastAsia="zh-CN" w:bidi="ar-SA"/>
        </w:rPr>
        <w:t>电磁辐射设施包括交流输变电工程、广播电视发射台、移动通信基站和雷达等</w:t>
      </w:r>
      <w:r>
        <w:rPr>
          <w:rFonts w:ascii="Times New Roman" w:hAnsi="Times New Roman" w:eastAsia="宋体" w:cs="Times New Roman"/>
        </w:rPr>
        <w:t>。</w:t>
      </w:r>
    </w:p>
    <w:p>
      <w:pPr>
        <w:pStyle w:val="24"/>
        <w:spacing w:line="360" w:lineRule="auto"/>
        <w:rPr>
          <w:rFonts w:ascii="Times New Roman"/>
          <w:highlight w:val="none"/>
        </w:rPr>
      </w:pPr>
      <w:r>
        <w:rPr>
          <w:rFonts w:hint="eastAsia" w:ascii="Times New Roman"/>
          <w:highlight w:val="none"/>
          <w:lang w:eastAsia="zh-CN"/>
        </w:rPr>
        <w:t>（</w:t>
      </w:r>
      <w:r>
        <w:rPr>
          <w:rFonts w:hint="eastAsia" w:ascii="Times New Roman"/>
          <w:highlight w:val="none"/>
          <w:lang w:val="en-US" w:eastAsia="zh-CN"/>
        </w:rPr>
        <w:t>1</w:t>
      </w:r>
      <w:r>
        <w:rPr>
          <w:rFonts w:hint="eastAsia" w:ascii="Times New Roman"/>
          <w:highlight w:val="none"/>
          <w:lang w:eastAsia="zh-CN"/>
        </w:rPr>
        <w:t>）</w:t>
      </w:r>
      <w:r>
        <w:rPr>
          <w:rFonts w:hint="eastAsia" w:ascii="Times New Roman"/>
          <w:highlight w:val="none"/>
        </w:rPr>
        <w:t>本标准规定的电磁辐射环境自动监测为固定点电磁辐射环境连续</w:t>
      </w:r>
      <w:r>
        <w:rPr>
          <w:rFonts w:hint="eastAsia" w:ascii="Times New Roman"/>
          <w:highlight w:val="none"/>
          <w:lang w:val="en-US" w:eastAsia="zh-CN"/>
        </w:rPr>
        <w:t>自动</w:t>
      </w:r>
      <w:r>
        <w:rPr>
          <w:rFonts w:hint="eastAsia" w:ascii="Times New Roman"/>
          <w:highlight w:val="none"/>
        </w:rPr>
        <w:t>监测，不适用于监测设备处于运动状态或监测时间不满足连续性的固定点电磁辐射环境监测。</w:t>
      </w:r>
    </w:p>
    <w:p>
      <w:pPr>
        <w:pStyle w:val="24"/>
        <w:spacing w:line="360" w:lineRule="auto"/>
        <w:rPr>
          <w:rFonts w:ascii="Times New Roman"/>
          <w:highlight w:val="none"/>
        </w:rPr>
      </w:pPr>
      <w:r>
        <w:rPr>
          <w:rFonts w:hint="eastAsia" w:ascii="Times New Roman"/>
          <w:highlight w:val="none"/>
          <w:lang w:eastAsia="zh-CN"/>
        </w:rPr>
        <w:t>（</w:t>
      </w:r>
      <w:r>
        <w:rPr>
          <w:rFonts w:hint="eastAsia" w:ascii="Times New Roman"/>
          <w:highlight w:val="none"/>
          <w:lang w:val="en-US" w:eastAsia="zh-CN"/>
        </w:rPr>
        <w:t>2</w:t>
      </w:r>
      <w:r>
        <w:rPr>
          <w:rFonts w:hint="eastAsia" w:ascii="Times New Roman"/>
          <w:highlight w:val="none"/>
          <w:lang w:eastAsia="zh-CN"/>
        </w:rPr>
        <w:t>）</w:t>
      </w:r>
      <w:r>
        <w:rPr>
          <w:rFonts w:hint="eastAsia" w:ascii="Times New Roman"/>
          <w:highlight w:val="none"/>
        </w:rPr>
        <w:t>本标准涵盖了工作频率在</w:t>
      </w:r>
      <w:r>
        <w:rPr>
          <w:rFonts w:hint="eastAsia" w:ascii="Times New Roman"/>
          <w:highlight w:val="none"/>
          <w:lang w:val="en-US" w:eastAsia="zh-CN"/>
        </w:rPr>
        <w:t>50Hz、100kHz</w:t>
      </w:r>
      <w:r>
        <w:rPr>
          <w:rFonts w:hint="eastAsia" w:ascii="Times New Roman"/>
          <w:highlight w:val="none"/>
        </w:rPr>
        <w:t>~6GHz的</w:t>
      </w:r>
      <w:r>
        <w:rPr>
          <w:rFonts w:hint="eastAsia" w:ascii="Times New Roman"/>
          <w:highlight w:val="none"/>
          <w:lang w:eastAsia="zh-CN"/>
        </w:rPr>
        <w:t>电磁环境质量</w:t>
      </w:r>
      <w:r>
        <w:rPr>
          <w:rFonts w:hint="eastAsia" w:ascii="Times New Roman"/>
          <w:highlight w:val="none"/>
          <w:lang w:val="en-US" w:eastAsia="zh-CN"/>
        </w:rPr>
        <w:t>或</w:t>
      </w:r>
      <w:r>
        <w:rPr>
          <w:rFonts w:hint="eastAsia" w:ascii="Times New Roman"/>
          <w:highlight w:val="none"/>
          <w:lang w:eastAsia="zh-CN"/>
        </w:rPr>
        <w:t>电磁辐射设施</w:t>
      </w:r>
      <w:r>
        <w:rPr>
          <w:rFonts w:hint="eastAsia" w:ascii="Times New Roman"/>
          <w:highlight w:val="none"/>
        </w:rPr>
        <w:t>的监测，即包含我省电磁辐射主要监测因子，其中交流输变电工程产生的电磁辐射因子为工频电场、工频磁场，100kHz~6GHz</w:t>
      </w:r>
      <w:r>
        <w:rPr>
          <w:rFonts w:hint="eastAsia" w:ascii="Times New Roman"/>
          <w:highlight w:val="none"/>
          <w:lang w:eastAsia="zh-CN"/>
        </w:rPr>
        <w:t>电磁辐射设施</w:t>
      </w:r>
      <w:r>
        <w:rPr>
          <w:rFonts w:hint="eastAsia" w:ascii="Times New Roman"/>
          <w:highlight w:val="none"/>
        </w:rPr>
        <w:t>产生的电磁辐射因子为射频电磁场。</w:t>
      </w:r>
    </w:p>
    <w:p>
      <w:pPr>
        <w:pStyle w:val="24"/>
        <w:spacing w:line="360" w:lineRule="auto"/>
        <w:rPr>
          <w:rFonts w:ascii="Times New Roman"/>
          <w:highlight w:val="none"/>
        </w:rPr>
      </w:pPr>
      <w:r>
        <w:rPr>
          <w:rFonts w:hint="eastAsia" w:ascii="Times New Roman"/>
          <w:highlight w:val="none"/>
          <w:lang w:eastAsia="zh-CN"/>
        </w:rPr>
        <w:t>（</w:t>
      </w:r>
      <w:r>
        <w:rPr>
          <w:rFonts w:hint="eastAsia" w:ascii="Times New Roman"/>
          <w:highlight w:val="none"/>
          <w:lang w:val="en-US" w:eastAsia="zh-CN"/>
        </w:rPr>
        <w:t>3</w:t>
      </w:r>
      <w:r>
        <w:rPr>
          <w:rFonts w:hint="eastAsia" w:ascii="Times New Roman"/>
          <w:highlight w:val="none"/>
          <w:lang w:eastAsia="zh-CN"/>
        </w:rPr>
        <w:t>）</w:t>
      </w:r>
      <w:r>
        <w:rPr>
          <w:rFonts w:hint="eastAsia" w:ascii="Times New Roman"/>
          <w:highlight w:val="none"/>
        </w:rPr>
        <w:t>理论上，工频电磁场的监测频率范围应覆盖1Hz~100kHz，射频电磁场的监测频率范围应覆盖100kHz~300GHz。</w:t>
      </w:r>
    </w:p>
    <w:p>
      <w:pPr>
        <w:pStyle w:val="24"/>
        <w:spacing w:line="360" w:lineRule="auto"/>
        <w:rPr>
          <w:rFonts w:ascii="Times New Roman"/>
          <w:highlight w:val="none"/>
        </w:rPr>
      </w:pPr>
      <w:r>
        <w:rPr>
          <w:rFonts w:hint="eastAsia" w:ascii="Times New Roman"/>
          <w:highlight w:val="none"/>
        </w:rPr>
        <w:t>在1Hz~100kHz频率范围内：电磁辐射环境影响的主要设施为交流输变电设施所产生的工频电磁场；现有的工频电磁场监测仪器无法实现同时对1Hz~100kHz整个频率范围的监测，因此，规定工频电磁场的监测频率范围至少应覆盖50Hz，同时考虑到谐波等因素的影响，保守规定工频电磁场的监测频率范围应不小于10Hz~10kHz。</w:t>
      </w:r>
    </w:p>
    <w:p>
      <w:pPr>
        <w:pStyle w:val="24"/>
        <w:spacing w:line="360" w:lineRule="auto"/>
        <w:rPr>
          <w:rFonts w:ascii="Times New Roman"/>
          <w:highlight w:val="yellow"/>
        </w:rPr>
      </w:pPr>
      <w:r>
        <w:rPr>
          <w:rFonts w:hint="eastAsia" w:ascii="Times New Roman"/>
          <w:highlight w:val="none"/>
        </w:rPr>
        <w:t>在100kHz~300GHz频率范围内：电磁辐射环境影响的主要设施包括了工作频率在100kHz~6GHz的移动通信基站、中（短）波广播发射设施、调频广播发射设施等；根据目前的电磁辐射仪器研发的技术现状，监测频率大于6GHz且使用三轴全向天线的选频式电磁辐射的技术尚不成熟；根据ICNIRP PUBLICATION</w:t>
      </w:r>
      <w:r>
        <w:rPr>
          <w:rFonts w:hint="eastAsia" w:ascii="Times New Roman"/>
          <w:highlight w:val="none"/>
          <w:lang w:eastAsia="zh-CN"/>
        </w:rPr>
        <w:t>-</w:t>
      </w:r>
      <w:r>
        <w:rPr>
          <w:rFonts w:hint="eastAsia" w:ascii="Times New Roman"/>
          <w:highlight w:val="none"/>
        </w:rPr>
        <w:t>2020原文及原文提及的参考研究文献均明确表明电磁辐射影响的研究主要集中于6GHz以下，因此，规定射频电磁场的监测范围应覆盖100kHz~6GHz。</w:t>
      </w:r>
    </w:p>
    <w:p>
      <w:pPr>
        <w:spacing w:line="360" w:lineRule="auto"/>
        <w:rPr>
          <w:rFonts w:hint="eastAsia" w:ascii="黑体" w:hAnsi="黑体" w:eastAsia="黑体"/>
        </w:rPr>
      </w:pPr>
      <w:r>
        <w:rPr>
          <w:rFonts w:hint="eastAsia" w:ascii="黑体" w:hAnsi="黑体" w:eastAsia="黑体"/>
        </w:rPr>
        <w:t>3.3.2  规范性引用文件</w:t>
      </w:r>
    </w:p>
    <w:p>
      <w:pPr>
        <w:spacing w:line="360" w:lineRule="auto"/>
        <w:ind w:firstLine="420"/>
        <w:rPr>
          <w:rFonts w:hint="default" w:ascii="Times New Roman" w:hAnsi="Times New Roman" w:eastAsia="宋体" w:cs="Times New Roman"/>
        </w:rPr>
      </w:pPr>
      <w:r>
        <w:rPr>
          <w:rFonts w:hint="default" w:ascii="Times New Roman" w:hAnsi="Times New Roman" w:eastAsia="宋体" w:cs="Times New Roman"/>
        </w:rPr>
        <w:t>本标准引用了</w:t>
      </w:r>
      <w:r>
        <w:rPr>
          <w:rFonts w:hint="default" w:ascii="Times New Roman" w:hAnsi="Times New Roman" w:eastAsia="宋体" w:cs="Times New Roman"/>
          <w:lang w:eastAsia="zh-CN"/>
        </w:rPr>
        <w:t>《</w:t>
      </w:r>
      <w:r>
        <w:rPr>
          <w:rFonts w:hint="default" w:ascii="Times New Roman" w:hAnsi="Times New Roman" w:eastAsia="宋体" w:cs="Times New Roman"/>
        </w:rPr>
        <w:t>电磁环境控制限值</w:t>
      </w:r>
      <w:r>
        <w:rPr>
          <w:rFonts w:hint="default" w:ascii="Times New Roman" w:hAnsi="Times New Roman" w:eastAsia="宋体" w:cs="Times New Roman"/>
          <w:lang w:eastAsia="zh-CN"/>
        </w:rPr>
        <w:t>》</w:t>
      </w:r>
      <w:r>
        <w:rPr>
          <w:rFonts w:hint="eastAsia" w:ascii="Times New Roman" w:hAnsi="Times New Roman" w:eastAsia="宋体" w:cs="Times New Roman"/>
          <w:lang w:eastAsia="zh-CN"/>
        </w:rPr>
        <w:t>（</w:t>
      </w:r>
      <w:r>
        <w:rPr>
          <w:rFonts w:hint="default" w:ascii="Times New Roman" w:hAnsi="Times New Roman" w:eastAsia="宋体" w:cs="Times New Roman"/>
        </w:rPr>
        <w:t>GB 8702</w:t>
      </w:r>
      <w:r>
        <w:rPr>
          <w:rFonts w:hint="eastAsia" w:ascii="Times New Roman" w:hAnsi="Times New Roman" w:eastAsia="宋体" w:cs="Times New Roman"/>
          <w:lang w:eastAsia="zh-CN"/>
        </w:rPr>
        <w:t>）</w:t>
      </w:r>
      <w:r>
        <w:rPr>
          <w:rFonts w:hint="default" w:ascii="Times New Roman" w:hAnsi="Times New Roman" w:eastAsia="宋体" w:cs="Times New Roman"/>
          <w:lang w:val="en-US" w:eastAsia="zh-CN"/>
        </w:rPr>
        <w:t>、</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外壳防护等级（IP代码）</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GB/T4208</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w:t>
      </w:r>
      <w:r>
        <w:rPr>
          <w:rFonts w:hint="default" w:ascii="Times New Roman" w:hAnsi="Times New Roman" w:eastAsia="宋体" w:cs="Times New Roman"/>
        </w:rPr>
        <w:t>《数值修约规则与极限数值的表示和判定》（GB/T8170）、</w:t>
      </w:r>
      <w:r>
        <w:rPr>
          <w:rFonts w:hint="default" w:ascii="Times New Roman" w:hAnsi="Times New Roman" w:eastAsia="宋体" w:cs="Times New Roman"/>
          <w:lang w:eastAsia="zh-CN"/>
        </w:rPr>
        <w:t>《</w:t>
      </w:r>
      <w:r>
        <w:rPr>
          <w:rFonts w:hint="default" w:ascii="Times New Roman" w:hAnsi="Times New Roman" w:eastAsia="宋体" w:cs="Times New Roman"/>
          <w:color w:val="auto"/>
          <w:u w:val="none"/>
        </w:rPr>
        <w:t>短波广播发射台电磁辐射环境监测方</w:t>
      </w:r>
      <w:r>
        <w:rPr>
          <w:rFonts w:hint="default" w:ascii="Times New Roman" w:hAnsi="Times New Roman" w:eastAsia="宋体" w:cs="Times New Roman"/>
          <w:color w:val="auto"/>
          <w:u w:val="none"/>
          <w:lang w:val="en-US" w:eastAsia="zh-CN"/>
        </w:rPr>
        <w:t>法》（</w:t>
      </w:r>
      <w:r>
        <w:rPr>
          <w:rFonts w:hint="default" w:ascii="Times New Roman" w:hAnsi="Times New Roman" w:eastAsia="宋体" w:cs="Times New Roman"/>
        </w:rPr>
        <w:t>HJ 1199</w:t>
      </w:r>
      <w:r>
        <w:rPr>
          <w:rFonts w:hint="default" w:ascii="Times New Roman" w:hAnsi="Times New Roman" w:eastAsia="宋体" w:cs="Times New Roman"/>
          <w:lang w:eastAsia="zh-CN"/>
        </w:rPr>
        <w:t>）、《</w:t>
      </w:r>
      <w:r>
        <w:rPr>
          <w:rFonts w:hint="default" w:ascii="Times New Roman" w:hAnsi="Times New Roman" w:eastAsia="宋体" w:cs="Times New Roman"/>
        </w:rPr>
        <w:t>中波广播发射台电磁辐射环境监测方法</w:t>
      </w:r>
      <w:r>
        <w:rPr>
          <w:rFonts w:hint="default" w:ascii="Times New Roman" w:hAnsi="Times New Roman" w:eastAsia="宋体" w:cs="Times New Roman"/>
          <w:lang w:eastAsia="zh-CN"/>
        </w:rPr>
        <w:t>》（</w:t>
      </w:r>
      <w:r>
        <w:rPr>
          <w:rFonts w:hint="default" w:ascii="Times New Roman" w:hAnsi="Times New Roman" w:eastAsia="宋体" w:cs="Times New Roman"/>
        </w:rPr>
        <w:t>HJ</w:t>
      </w:r>
      <w:r>
        <w:rPr>
          <w:rFonts w:hint="default" w:ascii="Times New Roman" w:hAnsi="Times New Roman" w:eastAsia="宋体" w:cs="Times New Roman"/>
          <w:lang w:val="en-US" w:eastAsia="zh-CN"/>
        </w:rPr>
        <w:t xml:space="preserve"> </w:t>
      </w:r>
      <w:r>
        <w:rPr>
          <w:rFonts w:hint="default" w:ascii="Times New Roman" w:hAnsi="Times New Roman" w:eastAsia="宋体" w:cs="Times New Roman"/>
        </w:rPr>
        <w:t>1136</w:t>
      </w:r>
      <w:r>
        <w:rPr>
          <w:rFonts w:hint="default" w:ascii="Times New Roman" w:hAnsi="Times New Roman" w:eastAsia="宋体" w:cs="Times New Roman"/>
          <w:lang w:eastAsia="zh-CN"/>
        </w:rPr>
        <w:t>）、</w:t>
      </w:r>
      <w:r>
        <w:rPr>
          <w:rFonts w:hint="default" w:ascii="Times New Roman" w:hAnsi="Times New Roman" w:eastAsia="宋体" w:cs="Times New Roman"/>
        </w:rPr>
        <w:t>《移动通信基站电磁辐射环境监测方法》（HJ972）、《交流输变电工程电磁环境监测方法》（HJ681）</w:t>
      </w:r>
      <w:r>
        <w:rPr>
          <w:rFonts w:hint="default" w:ascii="Times New Roman" w:hAnsi="Times New Roman" w:eastAsia="宋体" w:cs="Times New Roman"/>
          <w:lang w:eastAsia="zh-CN"/>
        </w:rPr>
        <w:t>、</w:t>
      </w:r>
      <w:r>
        <w:rPr>
          <w:rFonts w:hint="default" w:ascii="Times New Roman" w:hAnsi="Times New Roman" w:eastAsia="宋体" w:cs="Times New Roman"/>
        </w:rPr>
        <w:t>《5G移动通信基站电磁辐射环境监测方法（试行）》（HJ1151）</w:t>
      </w:r>
      <w:r>
        <w:rPr>
          <w:rFonts w:hint="default" w:ascii="Times New Roman" w:hAnsi="Times New Roman" w:eastAsia="宋体" w:cs="Times New Roman"/>
          <w:lang w:eastAsia="zh-CN"/>
        </w:rPr>
        <w:t>、《</w:t>
      </w:r>
      <w:r>
        <w:rPr>
          <w:rFonts w:hint="default" w:ascii="Times New Roman" w:hAnsi="Times New Roman" w:eastAsia="宋体" w:cs="Times New Roman"/>
        </w:rPr>
        <w:t>区域电磁环境调查与评估方法</w:t>
      </w:r>
      <w:r>
        <w:rPr>
          <w:rFonts w:hint="default" w:ascii="Times New Roman" w:hAnsi="Times New Roman" w:eastAsia="宋体" w:cs="Times New Roman"/>
          <w:lang w:val="en-US" w:eastAsia="zh-CN"/>
        </w:rPr>
        <w:t>（</w:t>
      </w:r>
      <w:r>
        <w:rPr>
          <w:rFonts w:hint="default" w:ascii="Times New Roman" w:hAnsi="Times New Roman" w:eastAsia="宋体" w:cs="Times New Roman"/>
        </w:rPr>
        <w:t>试行</w:t>
      </w:r>
      <w:r>
        <w:rPr>
          <w:rFonts w:hint="default" w:ascii="Times New Roman" w:hAnsi="Times New Roman" w:eastAsia="宋体" w:cs="Times New Roman"/>
          <w:lang w:eastAsia="zh-CN"/>
        </w:rPr>
        <w:t>）》（</w:t>
      </w:r>
      <w:r>
        <w:rPr>
          <w:rFonts w:hint="default" w:ascii="Times New Roman" w:hAnsi="Times New Roman" w:eastAsia="宋体" w:cs="Times New Roman"/>
        </w:rPr>
        <w:t>HJ 1349</w:t>
      </w:r>
      <w:r>
        <w:rPr>
          <w:rFonts w:hint="default" w:ascii="Times New Roman" w:hAnsi="Times New Roman" w:eastAsia="宋体" w:cs="Times New Roman"/>
          <w:lang w:eastAsia="zh-CN"/>
        </w:rPr>
        <w:t>）、</w:t>
      </w:r>
      <w:r>
        <w:rPr>
          <w:rFonts w:hint="default" w:ascii="Times New Roman" w:hAnsi="Times New Roman" w:eastAsia="宋体" w:cs="Times New Roman"/>
        </w:rPr>
        <w:t>《辐射环境保护管理导则 电磁辐射监测仪器和方法》（HJ/T10.2）、</w:t>
      </w:r>
      <w:r>
        <w:rPr>
          <w:rFonts w:hint="default" w:ascii="Times New Roman" w:hAnsi="Times New Roman" w:eastAsia="宋体" w:cs="Times New Roman"/>
          <w:lang w:eastAsia="zh-CN"/>
        </w:rPr>
        <w:t>《</w:t>
      </w:r>
      <w:r>
        <w:rPr>
          <w:rFonts w:hint="default" w:ascii="Times New Roman" w:hAnsi="Times New Roman" w:eastAsia="宋体" w:cs="Times New Roman"/>
          <w:color w:val="auto"/>
          <w:highlight w:val="none"/>
        </w:rPr>
        <w:t>5G移动通信基站电磁辐射环境监测技术规范</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DB</w:t>
      </w:r>
      <w:r>
        <w:rPr>
          <w:rFonts w:hint="default" w:ascii="Times New Roman" w:hAnsi="Times New Roman" w:eastAsia="宋体" w:cs="Times New Roman"/>
          <w:color w:val="auto"/>
          <w:highlight w:val="none"/>
          <w:lang w:val="en-US" w:eastAsia="zh-CN"/>
        </w:rPr>
        <w:t>44/T **** ）</w:t>
      </w:r>
      <w:r>
        <w:rPr>
          <w:rFonts w:hint="default" w:ascii="Times New Roman" w:hAnsi="Times New Roman" w:eastAsia="宋体" w:cs="Times New Roman"/>
        </w:rPr>
        <w:t>、</w:t>
      </w:r>
      <w:r>
        <w:rPr>
          <w:rFonts w:hint="eastAsia" w:ascii="Times New Roman" w:hAnsi="Times New Roman" w:eastAsia="宋体" w:cs="Times New Roman"/>
          <w:lang w:eastAsia="zh-CN"/>
        </w:rPr>
        <w:t>《</w:t>
      </w:r>
      <w:r>
        <w:rPr>
          <w:rFonts w:hint="default" w:ascii="Times New Roman" w:hAnsi="Times New Roman" w:cs="Times New Roman"/>
          <w:color w:val="auto"/>
          <w:highlight w:val="none"/>
        </w:rPr>
        <w:t>电磁辐射在线监测系统的技术要求</w:t>
      </w:r>
      <w:r>
        <w:rPr>
          <w:rFonts w:hint="eastAsia" w:ascii="Times New Roman" w:hAnsi="Times New Roman" w:eastAsia="宋体" w:cs="Times New Roman"/>
          <w:lang w:eastAsia="zh-CN"/>
        </w:rPr>
        <w:t>》</w:t>
      </w:r>
      <w:r>
        <w:rPr>
          <w:rFonts w:hint="eastAsia" w:ascii="Times New Roman" w:hAnsi="Times New Roman" w:cs="Times New Roman"/>
          <w:color w:val="auto"/>
          <w:highlight w:val="none"/>
          <w:lang w:eastAsia="zh-CN"/>
        </w:rPr>
        <w:t>（</w:t>
      </w:r>
      <w:r>
        <w:rPr>
          <w:rFonts w:hint="default" w:ascii="Times New Roman" w:hAnsi="Times New Roman" w:cs="Times New Roman"/>
          <w:color w:val="auto"/>
          <w:highlight w:val="none"/>
        </w:rPr>
        <w:t>YD/T 2830</w:t>
      </w:r>
      <w:r>
        <w:rPr>
          <w:rFonts w:hint="eastAsia" w:ascii="Times New Roman" w:hAnsi="Times New Roman" w:cs="Times New Roman"/>
          <w:color w:val="auto"/>
          <w:highlight w:val="none"/>
          <w:lang w:eastAsia="zh-CN"/>
        </w:rPr>
        <w:t>）</w:t>
      </w:r>
      <w:r>
        <w:rPr>
          <w:rFonts w:hint="default" w:ascii="Times New Roman" w:hAnsi="Times New Roman" w:eastAsia="宋体" w:cs="Times New Roman"/>
        </w:rPr>
        <w:t>的相关内容。</w:t>
      </w:r>
    </w:p>
    <w:p>
      <w:pPr>
        <w:spacing w:line="360" w:lineRule="auto"/>
        <w:rPr>
          <w:rFonts w:hint="eastAsia" w:ascii="黑体" w:hAnsi="黑体" w:eastAsia="黑体"/>
        </w:rPr>
      </w:pPr>
      <w:r>
        <w:rPr>
          <w:rFonts w:hint="eastAsia" w:ascii="黑体" w:hAnsi="黑体" w:eastAsia="黑体"/>
        </w:rPr>
        <w:t>3.3.3  主要内容</w:t>
      </w:r>
    </w:p>
    <w:p>
      <w:pPr>
        <w:spacing w:line="360" w:lineRule="auto"/>
        <w:ind w:firstLine="420"/>
        <w:rPr>
          <w:rFonts w:ascii="Times New Roman" w:hAnsi="Times New Roman" w:eastAsia="宋体" w:cs="Times New Roman"/>
        </w:rPr>
      </w:pPr>
      <w:r>
        <w:rPr>
          <w:rFonts w:ascii="Times New Roman" w:hAnsi="Times New Roman" w:eastAsia="宋体" w:cs="Times New Roman"/>
        </w:rPr>
        <w:t>本标准主要分为</w:t>
      </w:r>
      <w:r>
        <w:rPr>
          <w:rFonts w:hint="eastAsia" w:ascii="Times New Roman" w:hAnsi="Times New Roman" w:eastAsia="宋体" w:cs="Times New Roman"/>
          <w:lang w:eastAsia="zh-CN"/>
        </w:rPr>
        <w:t>“</w:t>
      </w:r>
      <w:r>
        <w:rPr>
          <w:rFonts w:ascii="Times New Roman" w:hAnsi="Times New Roman" w:eastAsia="宋体" w:cs="Times New Roman"/>
        </w:rPr>
        <w:t>范围</w:t>
      </w:r>
      <w:r>
        <w:rPr>
          <w:rFonts w:hint="eastAsia" w:ascii="Times New Roman" w:hAnsi="Times New Roman" w:eastAsia="宋体" w:cs="Times New Roman"/>
          <w:lang w:eastAsia="zh-CN"/>
        </w:rPr>
        <w:t>”“</w:t>
      </w:r>
      <w:r>
        <w:rPr>
          <w:rFonts w:ascii="Times New Roman" w:hAnsi="Times New Roman" w:eastAsia="宋体" w:cs="Times New Roman"/>
        </w:rPr>
        <w:t>规范性引用文件</w:t>
      </w:r>
      <w:r>
        <w:rPr>
          <w:rFonts w:hint="eastAsia" w:ascii="Times New Roman" w:hAnsi="Times New Roman" w:eastAsia="宋体" w:cs="Times New Roman"/>
          <w:lang w:eastAsia="zh-CN"/>
        </w:rPr>
        <w:t>”“</w:t>
      </w:r>
      <w:r>
        <w:rPr>
          <w:rFonts w:ascii="Times New Roman" w:hAnsi="Times New Roman" w:eastAsia="宋体" w:cs="Times New Roman"/>
        </w:rPr>
        <w:t>术语和定义</w:t>
      </w:r>
      <w:r>
        <w:rPr>
          <w:rFonts w:hint="eastAsia" w:ascii="Times New Roman" w:hAnsi="Times New Roman" w:eastAsia="宋体" w:cs="Times New Roman"/>
          <w:lang w:eastAsia="zh-CN"/>
        </w:rPr>
        <w:t>”“</w:t>
      </w:r>
      <w:r>
        <w:rPr>
          <w:rFonts w:hint="default" w:ascii="Times New Roman" w:hAnsi="Times New Roman" w:eastAsia="宋体" w:cs="Times New Roman"/>
          <w:lang w:val="en-US" w:eastAsia="zh-CN"/>
        </w:rPr>
        <w:t>通用要求</w:t>
      </w:r>
      <w:r>
        <w:rPr>
          <w:rFonts w:hint="eastAsia" w:ascii="Times New Roman" w:hAnsi="Times New Roman" w:eastAsia="宋体" w:cs="Times New Roman"/>
          <w:lang w:eastAsia="zh-CN"/>
        </w:rPr>
        <w:t>”“</w:t>
      </w:r>
      <w:r>
        <w:rPr>
          <w:rFonts w:hint="default" w:ascii="Times New Roman" w:hAnsi="Times New Roman" w:eastAsia="宋体" w:cs="Times New Roman"/>
          <w:lang w:val="en-US" w:eastAsia="zh-CN"/>
        </w:rPr>
        <w:t>点位布设</w:t>
      </w:r>
      <w:r>
        <w:rPr>
          <w:rFonts w:hint="eastAsia" w:ascii="Times New Roman" w:hAnsi="Times New Roman" w:eastAsia="宋体" w:cs="Times New Roman"/>
          <w:lang w:eastAsia="zh-CN"/>
        </w:rPr>
        <w:t>”“</w:t>
      </w:r>
      <w:r>
        <w:rPr>
          <w:rFonts w:hint="default" w:ascii="Times New Roman" w:hAnsi="Times New Roman" w:eastAsia="宋体" w:cs="Times New Roman"/>
          <w:lang w:val="en-US" w:eastAsia="zh-CN"/>
        </w:rPr>
        <w:t>监测系统</w:t>
      </w:r>
      <w:r>
        <w:rPr>
          <w:rFonts w:hint="eastAsia" w:ascii="Times New Roman" w:hAnsi="Times New Roman" w:eastAsia="宋体" w:cs="Times New Roman"/>
          <w:lang w:eastAsia="zh-CN"/>
        </w:rPr>
        <w:t>”“</w:t>
      </w:r>
      <w:r>
        <w:rPr>
          <w:rFonts w:hint="default" w:ascii="Times New Roman" w:hAnsi="Times New Roman" w:eastAsia="宋体" w:cs="Times New Roman"/>
        </w:rPr>
        <w:t>数据应用</w:t>
      </w:r>
      <w:r>
        <w:rPr>
          <w:rFonts w:hint="eastAsia" w:ascii="Times New Roman" w:hAnsi="Times New Roman" w:eastAsia="宋体" w:cs="Times New Roman"/>
          <w:lang w:eastAsia="zh-CN"/>
        </w:rPr>
        <w:t>”“</w:t>
      </w:r>
      <w:r>
        <w:rPr>
          <w:rFonts w:hint="default" w:ascii="Times New Roman" w:hAnsi="Times New Roman" w:eastAsia="宋体" w:cs="Times New Roman"/>
          <w:lang w:val="en-US" w:eastAsia="zh-CN"/>
        </w:rPr>
        <w:t>运维管理</w:t>
      </w:r>
      <w:r>
        <w:rPr>
          <w:rFonts w:hint="eastAsia" w:ascii="Times New Roman" w:hAnsi="Times New Roman" w:eastAsia="宋体" w:cs="Times New Roman"/>
          <w:lang w:val="en-US" w:eastAsia="zh-CN"/>
        </w:rPr>
        <w:t>”</w:t>
      </w:r>
      <w:r>
        <w:rPr>
          <w:rFonts w:ascii="Times New Roman" w:hAnsi="Times New Roman" w:eastAsia="宋体" w:cs="Times New Roman"/>
        </w:rPr>
        <w:t>和</w:t>
      </w:r>
      <w:r>
        <w:rPr>
          <w:rFonts w:hint="eastAsia" w:ascii="Times New Roman" w:hAnsi="Times New Roman" w:eastAsia="宋体" w:cs="Times New Roman"/>
          <w:lang w:eastAsia="zh-CN"/>
        </w:rPr>
        <w:t>“</w:t>
      </w:r>
      <w:r>
        <w:rPr>
          <w:rFonts w:ascii="Times New Roman" w:hAnsi="Times New Roman" w:eastAsia="宋体" w:cs="Times New Roman"/>
        </w:rPr>
        <w:t>质量保证</w:t>
      </w:r>
      <w:r>
        <w:rPr>
          <w:rFonts w:hint="eastAsia" w:ascii="Times New Roman" w:hAnsi="Times New Roman" w:eastAsia="宋体" w:cs="Times New Roman"/>
          <w:lang w:eastAsia="zh-CN"/>
        </w:rPr>
        <w:t>”</w:t>
      </w:r>
      <w:r>
        <w:rPr>
          <w:rFonts w:ascii="Times New Roman" w:hAnsi="Times New Roman" w:eastAsia="宋体" w:cs="Times New Roman"/>
        </w:rPr>
        <w:t>共</w:t>
      </w:r>
      <w:r>
        <w:rPr>
          <w:rFonts w:hint="default" w:ascii="Times New Roman" w:hAnsi="Times New Roman" w:eastAsia="宋体" w:cs="Times New Roman"/>
          <w:lang w:val="en-US" w:eastAsia="zh-CN"/>
        </w:rPr>
        <w:t>9</w:t>
      </w:r>
      <w:r>
        <w:rPr>
          <w:rFonts w:ascii="Times New Roman" w:hAnsi="Times New Roman" w:eastAsia="宋体" w:cs="Times New Roman"/>
        </w:rPr>
        <w:t>章，还包括</w:t>
      </w:r>
      <w:r>
        <w:rPr>
          <w:rFonts w:hint="eastAsia" w:ascii="Times New Roman" w:hAnsi="Times New Roman" w:eastAsia="宋体" w:cs="Times New Roman"/>
          <w:lang w:eastAsia="zh-CN"/>
        </w:rPr>
        <w:t>了“</w:t>
      </w:r>
      <w:r>
        <w:rPr>
          <w:rFonts w:ascii="Times New Roman" w:hAnsi="Times New Roman" w:eastAsia="宋体" w:cs="Times New Roman"/>
        </w:rPr>
        <w:t>前言</w:t>
      </w:r>
      <w:r>
        <w:rPr>
          <w:rFonts w:hint="eastAsia" w:ascii="Times New Roman" w:hAnsi="Times New Roman" w:eastAsia="宋体" w:cs="Times New Roman"/>
          <w:lang w:eastAsia="zh-CN"/>
        </w:rPr>
        <w:t>”</w:t>
      </w:r>
      <w:r>
        <w:rPr>
          <w:rFonts w:ascii="Times New Roman" w:hAnsi="Times New Roman" w:eastAsia="宋体" w:cs="Times New Roman"/>
        </w:rPr>
        <w:t>部分。</w:t>
      </w:r>
    </w:p>
    <w:p>
      <w:pPr>
        <w:spacing w:line="360" w:lineRule="auto"/>
        <w:rPr>
          <w:rFonts w:hint="eastAsia" w:ascii="黑体" w:hAnsi="黑体" w:eastAsia="黑体"/>
        </w:rPr>
      </w:pPr>
      <w:r>
        <w:rPr>
          <w:rFonts w:hint="eastAsia" w:ascii="黑体" w:hAnsi="黑体" w:eastAsia="黑体"/>
        </w:rPr>
        <w:t>3.3.4  关于“术语和定义”</w:t>
      </w:r>
    </w:p>
    <w:p>
      <w:pPr>
        <w:spacing w:line="360" w:lineRule="auto"/>
        <w:ind w:firstLine="435"/>
        <w:rPr>
          <w:rFonts w:hint="eastAsia" w:ascii="Times New Roman" w:hAnsi="Times New Roman" w:eastAsia="宋体" w:cs="Times New Roman"/>
        </w:rPr>
      </w:pPr>
      <w:r>
        <w:rPr>
          <w:rFonts w:hint="eastAsia" w:ascii="宋体" w:hAnsi="宋体" w:eastAsia="宋体" w:cs="Times New Roman"/>
        </w:rPr>
        <w:t>关于“电磁辐射环境自动监测”，参考</w:t>
      </w:r>
      <w:r>
        <w:rPr>
          <w:rFonts w:hint="eastAsia" w:ascii="Times New Roman" w:hAnsi="Times New Roman" w:eastAsia="宋体" w:cs="Times New Roman"/>
        </w:rPr>
        <w:t>《电磁辐射在线监测系统的技术要求》（YD/T 2830-2015）的相关要求，并结合辐射环境监测的行业规范、电磁辐射环境监测特点，考虑到电磁辐射环境</w:t>
      </w:r>
      <w:r>
        <w:rPr>
          <w:rFonts w:hint="eastAsia" w:ascii="Times New Roman" w:hAnsi="Times New Roman" w:eastAsia="宋体" w:cs="Times New Roman"/>
          <w:lang w:val="en-US" w:eastAsia="zh-CN"/>
        </w:rPr>
        <w:t>质量</w:t>
      </w:r>
      <w:r>
        <w:rPr>
          <w:rFonts w:hint="eastAsia" w:ascii="Times New Roman" w:hAnsi="Times New Roman" w:eastAsia="宋体" w:cs="Times New Roman"/>
        </w:rPr>
        <w:t>和</w:t>
      </w:r>
      <w:r>
        <w:rPr>
          <w:rFonts w:hint="eastAsia" w:ascii="Times New Roman" w:hAnsi="Times New Roman" w:eastAsia="宋体" w:cs="Times New Roman"/>
          <w:lang w:eastAsia="zh-CN"/>
        </w:rPr>
        <w:t>电磁辐射设施</w:t>
      </w:r>
      <w:r>
        <w:rPr>
          <w:rFonts w:hint="eastAsia" w:ascii="Times New Roman" w:hAnsi="Times New Roman" w:eastAsia="宋体" w:cs="Times New Roman"/>
        </w:rPr>
        <w:t>监测的具体要求，给出的描述。</w:t>
      </w:r>
    </w:p>
    <w:p>
      <w:pPr>
        <w:spacing w:line="360" w:lineRule="auto"/>
        <w:ind w:firstLine="43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关于“电磁环境质量自动监测”和“电磁辐射设施自动监测”，参考《辐射环境监测技术规范》（HJ61-2021）“辐射环境质量监测”和“辐射源环境监测”的术语，并结合电磁辐射的频率特点，给出描述。</w:t>
      </w:r>
    </w:p>
    <w:p>
      <w:pPr>
        <w:spacing w:line="360" w:lineRule="auto"/>
        <w:rPr>
          <w:rFonts w:hint="eastAsia" w:ascii="黑体" w:hAnsi="黑体" w:eastAsia="黑体"/>
        </w:rPr>
      </w:pPr>
      <w:r>
        <w:rPr>
          <w:rFonts w:hint="eastAsia" w:ascii="黑体" w:hAnsi="黑体" w:eastAsia="黑体"/>
        </w:rPr>
        <w:t>3.3.5  关于“</w:t>
      </w:r>
      <w:r>
        <w:rPr>
          <w:rFonts w:hint="eastAsia" w:ascii="黑体" w:hAnsi="黑体" w:eastAsia="黑体"/>
          <w:lang w:val="en-US" w:eastAsia="zh-CN"/>
        </w:rPr>
        <w:t>通用要求</w:t>
      </w:r>
      <w:r>
        <w:rPr>
          <w:rFonts w:hint="eastAsia" w:ascii="黑体" w:hAnsi="黑体" w:eastAsia="黑体"/>
        </w:rPr>
        <w:t>”</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主要从“基本功能要求”、“监测高度”、“监测因子”、“采集频率”、“选频监测”、“信息公开”、“通信协议”几方面进行规定。</w:t>
      </w:r>
    </w:p>
    <w:p>
      <w:pPr>
        <w:spacing w:line="360" w:lineRule="auto"/>
        <w:rPr>
          <w:rFonts w:hint="eastAsia" w:ascii="黑体" w:hAnsi="黑体" w:eastAsia="黑体"/>
          <w:lang w:val="en-US" w:eastAsia="zh-CN"/>
        </w:rPr>
      </w:pPr>
      <w:r>
        <w:rPr>
          <w:rFonts w:hint="eastAsia" w:ascii="黑体" w:hAnsi="黑体" w:eastAsia="黑体"/>
          <w:lang w:val="en-US" w:eastAsia="zh-CN"/>
        </w:rPr>
        <w:t>3.3.5.1  关于“基本功能要求”</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提出了自动监测站应满足工作频带和量程等基本要求。</w:t>
      </w:r>
    </w:p>
    <w:p>
      <w:pPr>
        <w:spacing w:line="360" w:lineRule="auto"/>
        <w:rPr>
          <w:rFonts w:hint="eastAsia" w:ascii="黑体" w:hAnsi="黑体" w:eastAsia="黑体"/>
          <w:lang w:val="en-US" w:eastAsia="zh-CN"/>
        </w:rPr>
      </w:pPr>
      <w:r>
        <w:rPr>
          <w:rFonts w:hint="eastAsia" w:ascii="黑体" w:hAnsi="黑体" w:eastAsia="黑体"/>
          <w:lang w:val="en-US" w:eastAsia="zh-CN"/>
        </w:rPr>
        <w:t>3.3.5.2  关于“监测高度”</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分别对电磁环境质量自动监测及电磁辐射设施自动监测的监测高度提出要求。监测高度参考了HJ 681、HJ 1199、HJ 1136 、HJ 972、HJ 1151等标准的相关规定。</w:t>
      </w:r>
    </w:p>
    <w:p>
      <w:pPr>
        <w:spacing w:line="360" w:lineRule="auto"/>
        <w:rPr>
          <w:rFonts w:hint="eastAsia" w:ascii="黑体" w:hAnsi="黑体" w:eastAsia="黑体"/>
          <w:lang w:val="en-US" w:eastAsia="zh-CN"/>
        </w:rPr>
      </w:pPr>
      <w:r>
        <w:rPr>
          <w:rFonts w:hint="eastAsia" w:ascii="黑体" w:hAnsi="黑体" w:eastAsia="黑体"/>
          <w:lang w:val="en-US" w:eastAsia="zh-CN"/>
        </w:rPr>
        <w:t>3.3.5.3  关于“监测因子”</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分别确定了电磁环境质量自动监测及电磁辐射设施自动监测的监测因子和监测参数。并参考HJ 1349中的电场强度参考水平，增加了“%”作为射频电磁环境的的监测数据单位。</w:t>
      </w:r>
    </w:p>
    <w:p>
      <w:pPr>
        <w:spacing w:line="360" w:lineRule="auto"/>
        <w:rPr>
          <w:rFonts w:hint="eastAsia" w:ascii="黑体" w:hAnsi="黑体" w:eastAsia="黑体"/>
          <w:lang w:val="en-US" w:eastAsia="zh-CN"/>
        </w:rPr>
      </w:pPr>
      <w:r>
        <w:rPr>
          <w:rFonts w:hint="eastAsia" w:ascii="黑体" w:hAnsi="黑体" w:eastAsia="黑体"/>
          <w:lang w:val="en-US" w:eastAsia="zh-CN"/>
        </w:rPr>
        <w:t>3.3.5.4  关于“采集频率</w:t>
      </w:r>
      <w:r>
        <w:rPr>
          <w:rFonts w:hint="default" w:ascii="黑体" w:hAnsi="黑体" w:eastAsia="黑体"/>
          <w:lang w:val="en-US" w:eastAsia="zh-CN"/>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以连续6分钟的监测数据作为自动监测的读取数据。并对工频电磁场、射频电磁场的数据采集时间及频率作出要求。并参照GB 8702，提出脉冲电磁波需监测6 分钟平均值及瞬时峰值。</w:t>
      </w:r>
    </w:p>
    <w:p>
      <w:pPr>
        <w:spacing w:line="360" w:lineRule="auto"/>
        <w:ind w:firstLine="0"/>
        <w:rPr>
          <w:rFonts w:hint="eastAsia" w:ascii="黑体" w:hAnsi="黑体" w:eastAsia="黑体" w:cstheme="minorBidi"/>
          <w:lang w:val="en-US" w:eastAsia="zh-CN"/>
        </w:rPr>
      </w:pPr>
      <w:r>
        <w:rPr>
          <w:rFonts w:hint="eastAsia" w:ascii="黑体" w:hAnsi="黑体" w:eastAsia="黑体"/>
          <w:lang w:val="en-US" w:eastAsia="zh-CN"/>
        </w:rPr>
        <w:t>3.3.5.5  关于“</w:t>
      </w:r>
      <w:r>
        <w:rPr>
          <w:rFonts w:hint="eastAsia" w:ascii="黑体" w:hAnsi="黑体" w:eastAsia="黑体" w:cstheme="minorBidi"/>
        </w:rPr>
        <w:t>选频监测</w:t>
      </w:r>
      <w:r>
        <w:rPr>
          <w:rFonts w:hint="eastAsia" w:ascii="黑体" w:hAnsi="黑体" w:eastAsia="黑体" w:cstheme="minorBidi"/>
          <w:lang w:eastAsia="zh-CN"/>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分别提出了电磁环境质量及电磁辐射设施的选频监测要求。</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lang w:val="en-US" w:eastAsia="zh-CN"/>
        </w:rPr>
        <w:t>3.3.5.6  关于“</w:t>
      </w:r>
      <w:r>
        <w:rPr>
          <w:rFonts w:hint="eastAsia" w:ascii="黑体" w:hAnsi="黑体" w:eastAsia="黑体" w:cstheme="minorBidi"/>
          <w:lang w:val="en-US" w:eastAsia="zh-CN"/>
        </w:rPr>
        <w:t>信息公开</w:t>
      </w:r>
      <w:r>
        <w:rPr>
          <w:rFonts w:hint="eastAsia" w:ascii="黑体" w:hAnsi="黑体" w:eastAsia="黑体" w:cstheme="minorBidi"/>
          <w:lang w:eastAsia="zh-CN"/>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要求自动站</w:t>
      </w:r>
      <w:r>
        <w:rPr>
          <w:rFonts w:hint="eastAsia" w:ascii="Times New Roman" w:hAnsi="Times New Roman" w:eastAsia="宋体" w:cs="Times New Roman"/>
          <w:lang w:val="en-US" w:eastAsia="zh-CN"/>
        </w:rPr>
        <w:t>应</w:t>
      </w:r>
      <w:r>
        <w:rPr>
          <w:rFonts w:hint="eastAsia" w:ascii="Times New Roman" w:hAnsi="Times New Roman" w:eastAsia="宋体" w:cs="Times New Roman"/>
        </w:rPr>
        <w:t>设置铭牌，并对铭牌上需要展示的信息作出要求。同时鼓励有条件的自动站设置显示屏，向公众展示自动监测相关信息。</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lang w:val="en-US" w:eastAsia="zh-CN"/>
        </w:rPr>
        <w:t>3.3.5.7  关于“</w:t>
      </w:r>
      <w:r>
        <w:rPr>
          <w:rFonts w:hint="eastAsia" w:ascii="黑体" w:hAnsi="黑体" w:eastAsia="黑体"/>
        </w:rPr>
        <w:t>通信协议</w:t>
      </w:r>
      <w:r>
        <w:rPr>
          <w:rFonts w:hint="eastAsia" w:ascii="黑体" w:hAnsi="黑体" w:eastAsia="黑体" w:cstheme="minorBidi"/>
          <w:lang w:eastAsia="zh-CN"/>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对电磁辐射环境自动监测设备的通信协议做出要求。</w:t>
      </w:r>
    </w:p>
    <w:p>
      <w:pPr>
        <w:spacing w:line="360" w:lineRule="auto"/>
        <w:ind w:firstLine="0"/>
        <w:rPr>
          <w:rFonts w:hint="eastAsia" w:ascii="Times New Roman" w:hAnsi="Times New Roman" w:eastAsia="宋体" w:cs="Times New Roman"/>
        </w:rPr>
      </w:pPr>
      <w:r>
        <w:rPr>
          <w:rFonts w:hint="eastAsia" w:ascii="黑体" w:hAnsi="黑体" w:eastAsia="黑体"/>
        </w:rPr>
        <w:t>3.3.</w:t>
      </w:r>
      <w:r>
        <w:rPr>
          <w:rFonts w:hint="eastAsia" w:ascii="黑体" w:hAnsi="黑体" w:eastAsia="黑体"/>
          <w:lang w:val="en-US" w:eastAsia="zh-CN"/>
        </w:rPr>
        <w:t>6</w:t>
      </w:r>
      <w:r>
        <w:rPr>
          <w:rFonts w:hint="eastAsia" w:ascii="黑体" w:hAnsi="黑体" w:eastAsia="黑体"/>
        </w:rPr>
        <w:t xml:space="preserve">  关于“点位布设”</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点位布设主要规定自动监测站选址的一般要求，并分别对电磁环境质量自动监测站以及电磁辐射设施自动监测站</w:t>
      </w:r>
      <w:r>
        <w:rPr>
          <w:rFonts w:hint="eastAsia" w:ascii="Times New Roman" w:hAnsi="Times New Roman" w:eastAsia="宋体" w:cs="Times New Roman"/>
          <w:lang w:val="en-US" w:eastAsia="zh-CN"/>
        </w:rPr>
        <w:t>提出相应的</w:t>
      </w:r>
      <w:r>
        <w:rPr>
          <w:rFonts w:hint="eastAsia" w:ascii="Times New Roman" w:hAnsi="Times New Roman" w:eastAsia="宋体" w:cs="Times New Roman"/>
        </w:rPr>
        <w:t>选址要求。其中，电磁环境质量自动监测站以及电磁辐射设施自动监测站选址均须满足一般要求。</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根据阐述</w:t>
      </w:r>
      <w:r>
        <w:rPr>
          <w:rFonts w:hint="eastAsia" w:ascii="Times New Roman" w:hAnsi="Times New Roman" w:eastAsia="宋体" w:cs="Times New Roman"/>
          <w:lang w:val="en-US" w:eastAsia="zh-CN"/>
        </w:rPr>
        <w:t>电磁环境质量和电磁辐射设施</w:t>
      </w:r>
      <w:r>
        <w:rPr>
          <w:rFonts w:hint="eastAsia" w:ascii="Times New Roman" w:hAnsi="Times New Roman" w:eastAsia="宋体" w:cs="Times New Roman"/>
        </w:rPr>
        <w:t>两类监测站点提出了相应的布设方法。参考HJ681、HJ972、HJ1151、GB39220等相关文件中的相关要求进行布设。</w:t>
      </w:r>
    </w:p>
    <w:p>
      <w:pPr>
        <w:spacing w:line="360" w:lineRule="auto"/>
        <w:ind w:firstLine="0"/>
        <w:rPr>
          <w:rFonts w:hint="eastAsia" w:ascii="Times New Roman" w:hAnsi="Times New Roman" w:eastAsia="宋体" w:cs="Times New Roman"/>
          <w:highlight w:val="none"/>
          <w:lang w:val="en-US" w:eastAsia="zh-CN"/>
        </w:rPr>
      </w:pPr>
      <w:r>
        <w:rPr>
          <w:rFonts w:hint="eastAsia" w:ascii="黑体" w:hAnsi="黑体" w:eastAsia="黑体"/>
          <w:highlight w:val="none"/>
        </w:rPr>
        <w:t>3.3.</w:t>
      </w:r>
      <w:r>
        <w:rPr>
          <w:rFonts w:hint="eastAsia" w:ascii="黑体" w:hAnsi="黑体" w:eastAsia="黑体"/>
          <w:highlight w:val="none"/>
          <w:lang w:val="en-US" w:eastAsia="zh-CN"/>
        </w:rPr>
        <w:t>7</w:t>
      </w:r>
      <w:r>
        <w:rPr>
          <w:rFonts w:hint="eastAsia" w:ascii="黑体" w:hAnsi="黑体" w:eastAsia="黑体"/>
          <w:highlight w:val="none"/>
        </w:rPr>
        <w:t xml:space="preserve">  关于“</w:t>
      </w:r>
      <w:r>
        <w:rPr>
          <w:rFonts w:hint="eastAsia" w:ascii="黑体" w:hAnsi="黑体" w:eastAsia="黑体"/>
          <w:highlight w:val="none"/>
          <w:lang w:val="en-US" w:eastAsia="zh-CN"/>
        </w:rPr>
        <w:t>监测系统</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本章节“监测系统”的要求是基于一般自动监测系统的技术要求和电磁环境管理工作需求，结合当前国内已建设的自动监测系统的技术特点以及实际运行情况所撰写。监测系统主要规定了一般要求、环境要求、监测设备、电源系统、报警系统及辅助设备。</w:t>
      </w:r>
    </w:p>
    <w:p>
      <w:pPr>
        <w:spacing w:line="360" w:lineRule="auto"/>
        <w:ind w:firstLine="0"/>
        <w:rPr>
          <w:rFonts w:hint="eastAsia" w:ascii="Times New Roman" w:hAnsi="Times New Roman" w:eastAsia="宋体" w:cs="Times New Roman"/>
          <w:highlight w:val="none"/>
        </w:rPr>
      </w:pPr>
      <w:r>
        <w:rPr>
          <w:rFonts w:hint="eastAsia" w:ascii="黑体" w:hAnsi="黑体" w:eastAsia="黑体"/>
          <w:highlight w:val="none"/>
        </w:rPr>
        <w:t>3.3.</w:t>
      </w:r>
      <w:r>
        <w:rPr>
          <w:rFonts w:hint="eastAsia" w:ascii="黑体" w:hAnsi="黑体" w:eastAsia="黑体"/>
          <w:highlight w:val="none"/>
          <w:lang w:val="en-US" w:eastAsia="zh-CN"/>
        </w:rPr>
        <w:t>7.1</w:t>
      </w:r>
      <w:r>
        <w:rPr>
          <w:rFonts w:hint="eastAsia" w:ascii="黑体" w:hAnsi="黑体" w:eastAsia="黑体"/>
          <w:highlight w:val="none"/>
        </w:rPr>
        <w:t xml:space="preserve">  关于“</w:t>
      </w:r>
      <w:r>
        <w:rPr>
          <w:rFonts w:hint="eastAsia" w:ascii="黑体" w:hAnsi="黑体" w:eastAsia="黑体"/>
          <w:highlight w:val="none"/>
          <w:lang w:val="en-US" w:eastAsia="zh-CN"/>
        </w:rPr>
        <w:t>一般要求</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对“电磁辐射环境自动监测系统”的描述主要是安装系统的工作过程和实现目标，参照了其他环境自动监测系统的描述，包括大气自动监测系统、水质自动监测系统和噪声自动监测系统，归纳其相同特征结合电磁环境的特点进行描述。</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监测系统的组成按照功能模块进行了分类。</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lang w:val="en-US" w:eastAsia="zh-CN"/>
        </w:rPr>
        <w:t>对</w:t>
      </w:r>
      <w:r>
        <w:rPr>
          <w:rFonts w:hint="eastAsia" w:ascii="Times New Roman" w:hAnsi="Times New Roman" w:eastAsia="宋体" w:cs="Times New Roman"/>
        </w:rPr>
        <w:t>数据系统</w:t>
      </w:r>
      <w:r>
        <w:rPr>
          <w:rFonts w:hint="eastAsia" w:ascii="Times New Roman" w:hAnsi="Times New Roman" w:eastAsia="宋体" w:cs="Times New Roman"/>
          <w:lang w:val="en-US" w:eastAsia="zh-CN"/>
        </w:rPr>
        <w:t>组成及</w:t>
      </w:r>
      <w:r>
        <w:rPr>
          <w:rFonts w:hint="eastAsia" w:ascii="Times New Roman" w:hAnsi="Times New Roman" w:eastAsia="宋体" w:cs="Times New Roman"/>
        </w:rPr>
        <w:t>本地存储功能</w:t>
      </w:r>
      <w:r>
        <w:rPr>
          <w:rFonts w:hint="eastAsia" w:ascii="Times New Roman" w:hAnsi="Times New Roman" w:eastAsia="宋体" w:cs="Times New Roman"/>
          <w:lang w:val="en-US" w:eastAsia="zh-CN"/>
        </w:rPr>
        <w:t>提出要求</w:t>
      </w:r>
      <w:r>
        <w:rPr>
          <w:rFonts w:hint="eastAsia" w:ascii="Times New Roman" w:hAnsi="Times New Roman" w:eastAsia="宋体" w:cs="Times New Roman"/>
        </w:rPr>
        <w:t>。</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7.2</w:t>
      </w:r>
      <w:r>
        <w:rPr>
          <w:rFonts w:hint="eastAsia" w:ascii="黑体" w:hAnsi="黑体" w:eastAsia="黑体"/>
          <w:highlight w:val="none"/>
        </w:rPr>
        <w:t xml:space="preserve">  关于“</w:t>
      </w:r>
      <w:r>
        <w:rPr>
          <w:rFonts w:hint="eastAsia" w:ascii="黑体" w:hAnsi="黑体" w:eastAsia="黑体"/>
          <w:highlight w:val="none"/>
          <w:lang w:val="en-US" w:eastAsia="zh-CN"/>
        </w:rPr>
        <w:t>环境要求</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考虑广东地区湿度变化较大，本章及对监测系统的温度给出了具体的指标，对湿度提出普遍适应的要求。</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7.3</w:t>
      </w:r>
      <w:r>
        <w:rPr>
          <w:rFonts w:hint="eastAsia" w:ascii="黑体" w:hAnsi="黑体" w:eastAsia="黑体"/>
          <w:highlight w:val="none"/>
        </w:rPr>
        <w:t xml:space="preserve">  关于“</w:t>
      </w:r>
      <w:r>
        <w:rPr>
          <w:rFonts w:hint="eastAsia" w:ascii="黑体" w:hAnsi="黑体" w:eastAsia="黑体"/>
          <w:highlight w:val="none"/>
          <w:lang w:val="en-US" w:eastAsia="zh-CN"/>
        </w:rPr>
        <w:t>监测设备</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本章节主要对监测设备的核心指标“电性能要求”和“电磁兼容性能要求”做出规范。</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7.3.1</w:t>
      </w:r>
      <w:r>
        <w:rPr>
          <w:rFonts w:hint="eastAsia" w:ascii="黑体" w:hAnsi="黑体" w:eastAsia="黑体"/>
          <w:highlight w:val="none"/>
        </w:rPr>
        <w:t xml:space="preserve">  关于“</w:t>
      </w:r>
      <w:r>
        <w:rPr>
          <w:rFonts w:hint="eastAsia" w:ascii="黑体" w:hAnsi="黑体" w:eastAsia="黑体"/>
          <w:highlight w:val="none"/>
          <w:lang w:val="en-US" w:eastAsia="zh-CN"/>
        </w:rPr>
        <w:t>电性能要求</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电性能要求是电磁环境自动监测系统的核心指标，目前相关标准HJ 1199 、HJ 1136、HJ 972、HJ 681、HJ 1151、HJ/T 10.2都分别对电性能指标做出了规定，但</w:t>
      </w:r>
      <w:r>
        <w:rPr>
          <w:rFonts w:hint="eastAsia" w:ascii="Times New Roman" w:hAnsi="Times New Roman" w:eastAsia="宋体" w:cs="Times New Roman"/>
          <w:lang w:val="en-US" w:eastAsia="zh-CN"/>
        </w:rPr>
        <w:t>上述</w:t>
      </w:r>
      <w:r>
        <w:rPr>
          <w:rFonts w:hint="eastAsia" w:ascii="Times New Roman" w:hAnsi="Times New Roman" w:eastAsia="宋体" w:cs="Times New Roman"/>
        </w:rPr>
        <w:t>标准所规定的指标差异较大，</w:t>
      </w:r>
      <w:r>
        <w:rPr>
          <w:rFonts w:hint="eastAsia" w:ascii="Times New Roman" w:hAnsi="Times New Roman" w:eastAsia="宋体" w:cs="Times New Roman"/>
          <w:lang w:val="en-US" w:eastAsia="zh-CN"/>
        </w:rPr>
        <w:t>且</w:t>
      </w:r>
      <w:r>
        <w:rPr>
          <w:rFonts w:hint="eastAsia" w:ascii="Times New Roman" w:hAnsi="Times New Roman" w:eastAsia="宋体" w:cs="Times New Roman"/>
        </w:rPr>
        <w:t>部分标准的指标过于宽松，无法满足实际监测工作的需要，难以对监测系统的技术做出实质性约束</w:t>
      </w:r>
      <w:r>
        <w:rPr>
          <w:rFonts w:hint="eastAsia" w:ascii="Times New Roman" w:hAnsi="Times New Roman" w:eastAsia="宋体" w:cs="Times New Roman"/>
          <w:lang w:eastAsia="zh-CN"/>
        </w:rPr>
        <w:t>。</w:t>
      </w:r>
      <w:r>
        <w:rPr>
          <w:rFonts w:hint="eastAsia" w:ascii="Times New Roman" w:hAnsi="Times New Roman" w:eastAsia="宋体" w:cs="Times New Roman"/>
        </w:rPr>
        <w:t>因此，</w:t>
      </w:r>
      <w:r>
        <w:rPr>
          <w:rFonts w:hint="eastAsia" w:ascii="Times New Roman" w:hAnsi="Times New Roman" w:eastAsia="宋体" w:cs="Times New Roman"/>
          <w:lang w:val="en-US" w:eastAsia="zh-CN"/>
        </w:rPr>
        <w:t>本标准</w:t>
      </w:r>
      <w:r>
        <w:rPr>
          <w:rFonts w:hint="eastAsia" w:ascii="Times New Roman" w:hAnsi="Times New Roman" w:eastAsia="宋体" w:cs="Times New Roman"/>
        </w:rPr>
        <w:t>在</w:t>
      </w:r>
      <w:r>
        <w:rPr>
          <w:rFonts w:hint="eastAsia" w:ascii="Times New Roman" w:hAnsi="Times New Roman" w:eastAsia="宋体" w:cs="Times New Roman"/>
          <w:lang w:val="en-US" w:eastAsia="zh-CN"/>
        </w:rPr>
        <w:t>上述</w:t>
      </w:r>
      <w:r>
        <w:rPr>
          <w:rFonts w:hint="eastAsia" w:ascii="Times New Roman" w:hAnsi="Times New Roman" w:eastAsia="宋体" w:cs="Times New Roman"/>
        </w:rPr>
        <w:t>标准的基础上，</w:t>
      </w:r>
      <w:r>
        <w:rPr>
          <w:rFonts w:hint="eastAsia" w:ascii="Times New Roman" w:hAnsi="Times New Roman" w:eastAsia="宋体" w:cs="Times New Roman"/>
          <w:lang w:val="en-US" w:eastAsia="zh-CN"/>
        </w:rPr>
        <w:t>并</w:t>
      </w:r>
      <w:r>
        <w:rPr>
          <w:rFonts w:hint="eastAsia" w:ascii="Times New Roman" w:hAnsi="Times New Roman" w:eastAsia="宋体" w:cs="Times New Roman"/>
        </w:rPr>
        <w:t>结合实际的工作需求，对</w:t>
      </w:r>
      <w:r>
        <w:rPr>
          <w:rFonts w:hint="eastAsia" w:ascii="Times New Roman" w:hAnsi="Times New Roman" w:eastAsia="宋体" w:cs="Times New Roman"/>
          <w:lang w:val="en-US" w:eastAsia="zh-CN"/>
        </w:rPr>
        <w:t>目前市面上部分</w:t>
      </w:r>
      <w:r>
        <w:rPr>
          <w:rFonts w:hint="eastAsia" w:ascii="Times New Roman" w:hAnsi="Times New Roman" w:eastAsia="宋体" w:cs="Times New Roman"/>
        </w:rPr>
        <w:t>厂家的公开技术指标进行调研，</w:t>
      </w:r>
      <w:r>
        <w:rPr>
          <w:rFonts w:hint="eastAsia" w:ascii="Times New Roman" w:hAnsi="Times New Roman" w:eastAsia="宋体" w:cs="Times New Roman"/>
          <w:lang w:val="en-US" w:eastAsia="zh-CN"/>
        </w:rPr>
        <w:t>确认市面上至少有</w:t>
      </w:r>
      <w:r>
        <w:rPr>
          <w:rFonts w:hint="eastAsia" w:ascii="Times New Roman" w:hAnsi="Times New Roman" w:eastAsia="宋体" w:cs="Times New Roman"/>
        </w:rPr>
        <w:t>3-5家的供应商</w:t>
      </w:r>
      <w:r>
        <w:rPr>
          <w:rFonts w:hint="eastAsia" w:ascii="Times New Roman" w:hAnsi="Times New Roman" w:eastAsia="宋体" w:cs="Times New Roman"/>
          <w:lang w:val="en-US" w:eastAsia="zh-CN"/>
        </w:rPr>
        <w:t>可以达到相关技术要求</w:t>
      </w:r>
      <w:r>
        <w:rPr>
          <w:rFonts w:hint="eastAsia" w:ascii="Times New Roman" w:hAnsi="Times New Roman" w:eastAsia="宋体" w:cs="Times New Roman"/>
        </w:rPr>
        <w:t>，</w:t>
      </w:r>
      <w:r>
        <w:rPr>
          <w:rFonts w:hint="eastAsia" w:ascii="Times New Roman" w:hAnsi="Times New Roman" w:eastAsia="宋体" w:cs="Times New Roman"/>
          <w:lang w:val="en-US" w:eastAsia="zh-CN"/>
        </w:rPr>
        <w:t>保障监测设备电性能要求的可实施性</w:t>
      </w:r>
      <w:r>
        <w:rPr>
          <w:rFonts w:hint="eastAsia" w:ascii="Times New Roman" w:hAnsi="Times New Roman" w:eastAsia="宋体" w:cs="Times New Roman"/>
        </w:rPr>
        <w:t>。</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7.3.2</w:t>
      </w:r>
      <w:r>
        <w:rPr>
          <w:rFonts w:hint="eastAsia" w:ascii="黑体" w:hAnsi="黑体" w:eastAsia="黑体"/>
          <w:highlight w:val="none"/>
        </w:rPr>
        <w:t xml:space="preserve">  关于“电磁兼容性能要求”</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电磁兼容性能要求主要参考国际标准IEC 61786。</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8</w:t>
      </w:r>
      <w:r>
        <w:rPr>
          <w:rFonts w:hint="eastAsia" w:ascii="黑体" w:hAnsi="黑体" w:eastAsia="黑体"/>
          <w:highlight w:val="none"/>
        </w:rPr>
        <w:t xml:space="preserve">  关于“</w:t>
      </w:r>
      <w:r>
        <w:rPr>
          <w:rFonts w:hint="eastAsia" w:ascii="黑体" w:hAnsi="黑体" w:eastAsia="黑体"/>
          <w:highlight w:val="none"/>
          <w:lang w:val="en-US" w:eastAsia="zh-CN"/>
        </w:rPr>
        <w:t>电源系统</w:t>
      </w:r>
      <w:r>
        <w:rPr>
          <w:rFonts w:hint="eastAsia" w:ascii="黑体" w:hAnsi="黑体" w:eastAsia="黑体"/>
          <w:highlight w:val="none"/>
        </w:rPr>
        <w:t>”</w:t>
      </w:r>
    </w:p>
    <w:p>
      <w:pPr>
        <w:spacing w:line="360" w:lineRule="auto"/>
        <w:ind w:firstLine="435"/>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规定了</w:t>
      </w:r>
      <w:r>
        <w:rPr>
          <w:rFonts w:hint="eastAsia" w:ascii="Times New Roman" w:hAnsi="Times New Roman" w:eastAsia="宋体" w:cs="Times New Roman"/>
        </w:rPr>
        <w:t>应具备市电和太阳能两种供电方式，并配备不间断电源系统（UPS），确保市电断开后可连续运行不小于7天。</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 xml:space="preserve">  关于“报警系统及辅助设备”</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9.1</w:t>
      </w:r>
      <w:r>
        <w:rPr>
          <w:rFonts w:hint="eastAsia" w:ascii="黑体" w:hAnsi="黑体" w:eastAsia="黑体"/>
          <w:highlight w:val="none"/>
        </w:rPr>
        <w:t xml:space="preserve">  关于“报警系统”</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lang w:val="en-US" w:eastAsia="zh-CN"/>
        </w:rPr>
        <w:t>规定了</w:t>
      </w:r>
      <w:r>
        <w:rPr>
          <w:rFonts w:hint="eastAsia" w:ascii="Times New Roman" w:hAnsi="Times New Roman" w:eastAsia="宋体" w:cs="Times New Roman"/>
        </w:rPr>
        <w:t>报警系统应包括现场声光报警、平台管理报警、手机端报警等。</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highlight w:val="none"/>
        </w:rPr>
        <w:t>3.3.</w:t>
      </w:r>
      <w:r>
        <w:rPr>
          <w:rFonts w:hint="eastAsia" w:ascii="黑体" w:hAnsi="黑体" w:eastAsia="黑体"/>
          <w:highlight w:val="none"/>
          <w:lang w:val="en-US" w:eastAsia="zh-CN"/>
        </w:rPr>
        <w:t>9.1</w:t>
      </w:r>
      <w:r>
        <w:rPr>
          <w:rFonts w:hint="eastAsia" w:ascii="黑体" w:hAnsi="黑体" w:eastAsia="黑体"/>
          <w:highlight w:val="none"/>
        </w:rPr>
        <w:t xml:space="preserve">  关于“</w:t>
      </w:r>
      <w:r>
        <w:rPr>
          <w:rFonts w:hint="eastAsia" w:ascii="黑体" w:hAnsi="黑体" w:eastAsia="黑体"/>
          <w:highlight w:val="none"/>
          <w:lang w:val="en-US" w:eastAsia="zh-CN"/>
        </w:rPr>
        <w:t>辅助设备</w:t>
      </w:r>
      <w:r>
        <w:rPr>
          <w:rFonts w:hint="eastAsia" w:ascii="黑体" w:hAnsi="黑体" w:eastAsia="黑体"/>
          <w:highlight w:val="none"/>
        </w:rPr>
        <w:t>”</w:t>
      </w:r>
    </w:p>
    <w:p>
      <w:pPr>
        <w:spacing w:line="360" w:lineRule="auto"/>
        <w:ind w:firstLine="435"/>
        <w:rPr>
          <w:rFonts w:hint="default" w:ascii="Times New Roman" w:hAnsi="Times New Roman" w:eastAsia="宋体" w:cs="Times New Roman"/>
        </w:rPr>
      </w:pPr>
      <w:r>
        <w:rPr>
          <w:rFonts w:hint="eastAsia" w:ascii="Times New Roman" w:hAnsi="Times New Roman" w:eastAsia="宋体" w:cs="Times New Roman"/>
          <w:lang w:val="en-US" w:eastAsia="zh-CN"/>
        </w:rPr>
        <w:t>规定了</w:t>
      </w:r>
      <w:r>
        <w:rPr>
          <w:rFonts w:hint="eastAsia" w:ascii="Times New Roman" w:hAnsi="Times New Roman" w:eastAsia="宋体" w:cs="Times New Roman"/>
        </w:rPr>
        <w:t>辅助设备包括仪器支架、视频监控、安全防护设施、防雷设备、环境信息屏、温湿度计等设备</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对辅助设备提出要求。</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rPr>
        <w:t>3.3.</w:t>
      </w:r>
      <w:r>
        <w:rPr>
          <w:rFonts w:hint="eastAsia" w:ascii="黑体" w:hAnsi="黑体" w:eastAsia="黑体"/>
          <w:lang w:val="en-US" w:eastAsia="zh-CN"/>
        </w:rPr>
        <w:t>8</w:t>
      </w:r>
      <w:r>
        <w:rPr>
          <w:rFonts w:hint="eastAsia" w:ascii="黑体" w:hAnsi="黑体" w:eastAsia="黑体"/>
        </w:rPr>
        <w:t xml:space="preserve">  关于“数据应用”</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主要从“数据采集”、“数据处理”、“结果表示”、“数据应用”几方面进行规定。</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rPr>
        <w:t>3.3.</w:t>
      </w:r>
      <w:r>
        <w:rPr>
          <w:rFonts w:hint="eastAsia" w:ascii="黑体" w:hAnsi="黑体" w:eastAsia="黑体"/>
          <w:lang w:val="en-US" w:eastAsia="zh-CN"/>
        </w:rPr>
        <w:t>8.1</w:t>
      </w:r>
      <w:r>
        <w:rPr>
          <w:rFonts w:hint="eastAsia" w:ascii="黑体" w:hAnsi="黑体" w:eastAsia="黑体"/>
        </w:rPr>
        <w:t xml:space="preserve">  关于“数据采集”</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为方便对数据的统一管理，提出采集数据应传输至广东省电磁环境管理平台。</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rPr>
        <w:t>3.3.</w:t>
      </w:r>
      <w:r>
        <w:rPr>
          <w:rFonts w:hint="eastAsia" w:ascii="黑体" w:hAnsi="黑体" w:eastAsia="黑体"/>
          <w:lang w:val="en-US" w:eastAsia="zh-CN"/>
        </w:rPr>
        <w:t>8.2</w:t>
      </w:r>
      <w:r>
        <w:rPr>
          <w:rFonts w:hint="eastAsia" w:ascii="黑体" w:hAnsi="黑体" w:eastAsia="黑体"/>
        </w:rPr>
        <w:t xml:space="preserve">  关于“数据</w:t>
      </w:r>
      <w:r>
        <w:rPr>
          <w:rFonts w:hint="eastAsia" w:ascii="黑体" w:hAnsi="黑体" w:eastAsia="黑体"/>
          <w:lang w:val="en-US" w:eastAsia="zh-CN"/>
        </w:rPr>
        <w:t>处理</w:t>
      </w:r>
      <w:r>
        <w:rPr>
          <w:rFonts w:hint="eastAsia" w:ascii="黑体" w:hAnsi="黑体" w:eastAsia="黑体"/>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规定了监测数据处理方式。</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rPr>
        <w:t>3.3.</w:t>
      </w:r>
      <w:r>
        <w:rPr>
          <w:rFonts w:hint="eastAsia" w:ascii="黑体" w:hAnsi="黑体" w:eastAsia="黑体"/>
          <w:lang w:val="en-US" w:eastAsia="zh-CN"/>
        </w:rPr>
        <w:t>8.3</w:t>
      </w:r>
      <w:r>
        <w:rPr>
          <w:rFonts w:hint="eastAsia" w:ascii="黑体" w:hAnsi="黑体" w:eastAsia="黑体"/>
        </w:rPr>
        <w:t xml:space="preserve">  关于“结果表示”</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参照HJ1009-2019设置了小时均值、日均值、月均值和年均值。</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按照监测因子的不同，分别对监测数据结果表示作出规定。</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根据GB/T8170的要求，对监测数据有效数字和数值进行修约。</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提出异常数据判定标准。并对异常数据的处理方式提出要求。</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rPr>
        <w:t>3.3.</w:t>
      </w:r>
      <w:r>
        <w:rPr>
          <w:rFonts w:hint="eastAsia" w:ascii="黑体" w:hAnsi="黑体" w:eastAsia="黑体"/>
          <w:lang w:val="en-US" w:eastAsia="zh-CN"/>
        </w:rPr>
        <w:t>8.4</w:t>
      </w:r>
      <w:r>
        <w:rPr>
          <w:rFonts w:hint="eastAsia" w:ascii="黑体" w:hAnsi="黑体" w:eastAsia="黑体"/>
        </w:rPr>
        <w:t xml:space="preserve">  关于“结果评价”</w:t>
      </w:r>
    </w:p>
    <w:p>
      <w:pPr>
        <w:spacing w:line="360" w:lineRule="auto"/>
        <w:ind w:firstLine="420" w:firstLineChars="200"/>
        <w:rPr>
          <w:rFonts w:hint="eastAsia" w:ascii="Times New Roman" w:hAnsi="Times New Roman" w:eastAsia="宋体" w:cs="Times New Roman"/>
        </w:rPr>
      </w:pPr>
      <w:r>
        <w:rPr>
          <w:rFonts w:hint="eastAsia" w:ascii="Times New Roman" w:hAnsi="Times New Roman" w:eastAsia="宋体" w:cs="Times New Roman"/>
        </w:rPr>
        <w:t>根据GB 8702和H J1349规定的相关限值，对数据进行达标判定。分别统计单次监测值、小时均值、日均值、月均值、年均值达标情况。</w:t>
      </w:r>
    </w:p>
    <w:p>
      <w:pPr>
        <w:spacing w:line="360" w:lineRule="auto"/>
        <w:ind w:firstLine="420" w:firstLineChars="200"/>
        <w:rPr>
          <w:rFonts w:hint="eastAsia" w:ascii="Times New Roman" w:hAnsi="Times New Roman" w:eastAsia="宋体" w:cs="Times New Roman"/>
          <w:lang w:val="en-US" w:eastAsia="zh-CN"/>
        </w:rPr>
      </w:pPr>
      <w:r>
        <w:rPr>
          <w:rFonts w:hint="eastAsia" w:ascii="Times New Roman" w:hAnsi="Times New Roman" w:eastAsia="宋体" w:cs="Times New Roman"/>
        </w:rPr>
        <w:t>参考HJ24 中结果评价方法，绘制监测值趋势图，并统计最大值出现时段，以此预测数据变化趋势。</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 xml:space="preserve">  关于“</w:t>
      </w:r>
      <w:r>
        <w:rPr>
          <w:rFonts w:hint="eastAsia" w:ascii="黑体" w:hAnsi="黑体" w:eastAsia="黑体"/>
          <w:highlight w:val="none"/>
          <w:lang w:val="en-US" w:eastAsia="zh-CN"/>
        </w:rPr>
        <w:t>运维管理</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本章节“运维管理”主要参考国家《地表水水质自动监测站运行 维护技术要求》，结合电磁环境监测的管理要求和电磁环境自动监测系统的技术特点而制定。</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9.1</w:t>
      </w:r>
      <w:r>
        <w:rPr>
          <w:rFonts w:hint="eastAsia" w:ascii="黑体" w:hAnsi="黑体" w:eastAsia="黑体"/>
          <w:highlight w:val="none"/>
        </w:rPr>
        <w:t xml:space="preserve">  关于“</w:t>
      </w:r>
      <w:r>
        <w:rPr>
          <w:rFonts w:hint="eastAsia" w:ascii="黑体" w:hAnsi="黑体" w:eastAsia="黑体"/>
          <w:highlight w:val="none"/>
          <w:lang w:val="en-US" w:eastAsia="zh-CN"/>
        </w:rPr>
        <w:t>一般要求</w:t>
      </w:r>
      <w:r>
        <w:rPr>
          <w:rFonts w:hint="eastAsia" w:ascii="黑体" w:hAnsi="黑体" w:eastAsia="黑体"/>
          <w:highlight w:val="none"/>
        </w:rPr>
        <w:t>”</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建立由日记录、周核查、月质控等多级质控措施，保障数据正常上传、远程管理平台运行顺畅，保证自动监测站数据质量。</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当监测数据出现报警或超标时，应立即进行核查；监测仪器期间核查和校准应按计划落实；所有维护及质控活动均应形成书面记录。</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9.2</w:t>
      </w:r>
      <w:r>
        <w:rPr>
          <w:rFonts w:hint="eastAsia" w:ascii="黑体" w:hAnsi="黑体" w:eastAsia="黑体"/>
          <w:highlight w:val="none"/>
        </w:rPr>
        <w:t xml:space="preserve">  关于“运维单位”</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运维单位应建立覆盖人、机、料、法、环等环节的运维管理体系，保障监测系统正常可靠运行。</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 xml:space="preserve">运维单位应实时监控自动监测数据和设备运行状态，对小时数据有效性进行判别，及时处理异常情况，并分别于每日10时前通过管理平台对数据的有效性进行审核确认。 </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运维单位应根据仪器说明书、测量原理、运行环境以及监测数据制定巡检计划，明确监测系统维护保养内容、周期或耗材更换周期等，严格按照计划开展日常巡检和维护保养工作并做好记录。</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运维单位应根据系统的配置、仪器性能、电磁数据情况等情况，编制运维管理手册，并做好相关维护记录档案。</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9.3</w:t>
      </w:r>
      <w:r>
        <w:rPr>
          <w:rFonts w:hint="eastAsia" w:ascii="黑体" w:hAnsi="黑体" w:eastAsia="黑体"/>
          <w:highlight w:val="none"/>
        </w:rPr>
        <w:t xml:space="preserve">  关于“运维计划与运维报告”</w:t>
      </w:r>
    </w:p>
    <w:p>
      <w:pPr>
        <w:spacing w:line="360" w:lineRule="auto"/>
        <w:ind w:firstLine="0"/>
        <w:rPr>
          <w:rFonts w:hint="eastAsia" w:ascii="Times New Roman" w:hAnsi="Times New Roman" w:eastAsia="宋体" w:cs="Times New Roman"/>
        </w:rPr>
      </w:pPr>
      <w:r>
        <w:rPr>
          <w:rFonts w:hint="eastAsia" w:ascii="黑体" w:hAnsi="黑体" w:eastAsia="黑体"/>
          <w:highlight w:val="none"/>
        </w:rPr>
        <w:t>3.3.</w:t>
      </w:r>
      <w:r>
        <w:rPr>
          <w:rFonts w:hint="eastAsia" w:ascii="黑体" w:hAnsi="黑体" w:eastAsia="黑体"/>
          <w:highlight w:val="none"/>
          <w:lang w:val="en-US" w:eastAsia="zh-CN"/>
        </w:rPr>
        <w:t>9.3.1</w:t>
      </w:r>
      <w:r>
        <w:rPr>
          <w:rFonts w:hint="eastAsia" w:ascii="黑体" w:hAnsi="黑体" w:eastAsia="黑体"/>
          <w:highlight w:val="none"/>
        </w:rPr>
        <w:t xml:space="preserve">  关于“运维计划”</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 xml:space="preserve">运维单位每月末周应制定下月运维计划，包括维护时间、维护人员、维护内容等。 </w:t>
      </w:r>
    </w:p>
    <w:p>
      <w:pPr>
        <w:spacing w:line="360" w:lineRule="auto"/>
        <w:ind w:firstLine="0"/>
        <w:rPr>
          <w:rFonts w:hint="eastAsia" w:ascii="黑体" w:hAnsi="黑体" w:eastAsia="黑体"/>
          <w:highlight w:val="none"/>
        </w:rPr>
      </w:pPr>
      <w:r>
        <w:rPr>
          <w:rFonts w:hint="eastAsia" w:ascii="黑体" w:hAnsi="黑体" w:eastAsia="黑体"/>
          <w:highlight w:val="none"/>
        </w:rPr>
        <w:t>3.3.</w:t>
      </w:r>
      <w:r>
        <w:rPr>
          <w:rFonts w:hint="eastAsia" w:ascii="黑体" w:hAnsi="黑体" w:eastAsia="黑体"/>
          <w:highlight w:val="none"/>
          <w:lang w:val="en-US" w:eastAsia="zh-CN"/>
        </w:rPr>
        <w:t>9.3.2</w:t>
      </w:r>
      <w:r>
        <w:rPr>
          <w:rFonts w:hint="eastAsia" w:ascii="黑体" w:hAnsi="黑体" w:eastAsia="黑体"/>
          <w:highlight w:val="none"/>
        </w:rPr>
        <w:t xml:space="preserve">  关于“运维报告” </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运维单位每月首周应提交上月运维报告，包括维护人员、实际巡检日期、维护内容、维护效果等。</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highlight w:val="none"/>
        </w:rPr>
        <w:t>3.3.</w:t>
      </w:r>
      <w:r>
        <w:rPr>
          <w:rFonts w:hint="eastAsia" w:ascii="黑体" w:hAnsi="黑体" w:eastAsia="黑体"/>
          <w:highlight w:val="none"/>
          <w:lang w:val="en-US" w:eastAsia="zh-CN"/>
        </w:rPr>
        <w:t>9.4</w:t>
      </w:r>
      <w:r>
        <w:rPr>
          <w:rFonts w:hint="eastAsia" w:ascii="黑体" w:hAnsi="黑体" w:eastAsia="黑体"/>
          <w:highlight w:val="none"/>
        </w:rPr>
        <w:t xml:space="preserve">  关于“运维</w:t>
      </w:r>
      <w:r>
        <w:rPr>
          <w:rFonts w:hint="eastAsia" w:ascii="黑体" w:hAnsi="黑体" w:eastAsia="黑体"/>
          <w:highlight w:val="none"/>
          <w:lang w:val="en-US" w:eastAsia="zh-CN"/>
        </w:rPr>
        <w:t>要求</w:t>
      </w:r>
      <w:r>
        <w:rPr>
          <w:rFonts w:hint="eastAsia" w:ascii="黑体" w:hAnsi="黑体" w:eastAsia="黑体"/>
          <w:highlight w:val="none"/>
        </w:rPr>
        <w:t>”</w:t>
      </w:r>
    </w:p>
    <w:p>
      <w:pPr>
        <w:spacing w:line="360" w:lineRule="auto"/>
        <w:ind w:firstLine="0"/>
        <w:rPr>
          <w:rFonts w:hint="eastAsia" w:ascii="黑体" w:hAnsi="黑体" w:eastAsia="黑体"/>
          <w:highlight w:val="none"/>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4.1　每日监控</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每日上午和下午至少各 2 次远程查看监测数据并形成记录，分析监测数据，对站点运行情况进行远程诊断和运行管理。</w:t>
      </w:r>
    </w:p>
    <w:p>
      <w:pPr>
        <w:spacing w:line="360" w:lineRule="auto"/>
        <w:ind w:firstLine="0"/>
        <w:rPr>
          <w:rFonts w:hint="eastAsia" w:ascii="黑体" w:hAnsi="黑体" w:eastAsia="黑体"/>
          <w:highlight w:val="none"/>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4.2　双周运维</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每2周至少巡视站点 1 次，并做好巡查记录，清洁太阳能板，检查监测设备有无损坏或隐患；检查线路连接是否可靠，判断运行状况和工作参数是否正常。如有异常情况应及时处理，保证设备正常运行。</w:t>
      </w:r>
    </w:p>
    <w:p>
      <w:pPr>
        <w:spacing w:line="360" w:lineRule="auto"/>
        <w:ind w:firstLine="0"/>
        <w:rPr>
          <w:rFonts w:hint="eastAsia" w:ascii="黑体" w:hAnsi="黑体" w:eastAsia="黑体"/>
          <w:highlight w:val="none"/>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4.3　季度运维</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现场使用便携式设备进行数据随机比对，检查显示数据之间的一致性。</w:t>
      </w:r>
    </w:p>
    <w:p>
      <w:pPr>
        <w:spacing w:line="360" w:lineRule="auto"/>
        <w:ind w:firstLine="0"/>
        <w:rPr>
          <w:rFonts w:hint="eastAsia" w:ascii="黑体" w:hAnsi="黑体" w:eastAsia="黑体"/>
          <w:highlight w:val="none"/>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4.4　半年运维</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做好期间核查，对监测系统整体进行检查，形成期间核查报告和系统检查报告。</w:t>
      </w:r>
    </w:p>
    <w:p>
      <w:pPr>
        <w:spacing w:line="360" w:lineRule="auto"/>
        <w:ind w:firstLine="0"/>
        <w:rPr>
          <w:rFonts w:hint="eastAsia" w:ascii="黑体" w:hAnsi="黑体" w:eastAsia="黑体"/>
          <w:highlight w:val="none"/>
        </w:rPr>
      </w:pPr>
      <w:r>
        <w:rPr>
          <w:rFonts w:hint="eastAsia" w:ascii="黑体" w:hAnsi="黑体" w:eastAsia="黑体"/>
          <w:highlight w:val="none"/>
        </w:rPr>
        <w:t>3.3.</w:t>
      </w:r>
      <w:r>
        <w:rPr>
          <w:rFonts w:hint="eastAsia" w:ascii="黑体" w:hAnsi="黑体" w:eastAsia="黑体"/>
          <w:highlight w:val="none"/>
          <w:lang w:val="en-US" w:eastAsia="zh-CN"/>
        </w:rPr>
        <w:t>9.</w:t>
      </w:r>
      <w:r>
        <w:rPr>
          <w:rFonts w:hint="eastAsia" w:ascii="黑体" w:hAnsi="黑体" w:eastAsia="黑体"/>
          <w:highlight w:val="none"/>
        </w:rPr>
        <w:t>4.5　年度运维</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rPr>
        <w:t>每台监测设备至少每年进行1次准确度检查，并进行预防性维护，按说明书的要求更换备件。</w:t>
      </w:r>
    </w:p>
    <w:p>
      <w:pPr>
        <w:spacing w:line="360" w:lineRule="auto"/>
        <w:ind w:firstLine="0"/>
        <w:rPr>
          <w:rFonts w:hint="eastAsia" w:ascii="Times New Roman" w:hAnsi="Times New Roman" w:eastAsia="宋体" w:cs="Times New Roman"/>
          <w:lang w:val="en-US" w:eastAsia="zh-CN"/>
        </w:rPr>
      </w:pPr>
      <w:r>
        <w:rPr>
          <w:rFonts w:hint="eastAsia" w:ascii="黑体" w:hAnsi="黑体" w:eastAsia="黑体"/>
          <w:highlight w:val="none"/>
        </w:rPr>
        <w:t>3.3.</w:t>
      </w:r>
      <w:r>
        <w:rPr>
          <w:rFonts w:hint="eastAsia" w:ascii="黑体" w:hAnsi="黑体" w:eastAsia="黑体"/>
          <w:highlight w:val="none"/>
          <w:lang w:val="en-US" w:eastAsia="zh-CN"/>
        </w:rPr>
        <w:t>9.5</w:t>
      </w:r>
      <w:r>
        <w:rPr>
          <w:rFonts w:hint="eastAsia" w:ascii="黑体" w:hAnsi="黑体" w:eastAsia="黑体"/>
          <w:highlight w:val="none"/>
        </w:rPr>
        <w:t xml:space="preserve">  关于“故障处理”</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设备及数据发现异常时，应及时处理，包括但不限于：（1）现场巡检发现设备故障；（2）发现数据异常；（3）接到设备预警报警信息。</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6:00～23:00出现故障或数据异常，应在1h之内响应，4h内到达现场解决（通信故障除外，但应及时与相关部门联系积极解决）；其他时间段，应在次日 8:30 之前到达现场进行故障排除。</w:t>
      </w:r>
    </w:p>
    <w:p>
      <w:pPr>
        <w:spacing w:line="360" w:lineRule="auto"/>
        <w:ind w:firstLine="435"/>
        <w:rPr>
          <w:rFonts w:hint="eastAsia" w:ascii="Times New Roman" w:hAnsi="Times New Roman" w:eastAsia="宋体" w:cs="Times New Roman"/>
        </w:rPr>
      </w:pPr>
      <w:r>
        <w:rPr>
          <w:rFonts w:hint="eastAsia" w:ascii="Times New Roman" w:hAnsi="Times New Roman" w:eastAsia="宋体" w:cs="Times New Roman"/>
        </w:rPr>
        <w:t>数据采集处理传输单元发生故障，应在72h内修复或更换；其他故障，应在4h内及时解决。</w:t>
      </w:r>
    </w:p>
    <w:p>
      <w:pPr>
        <w:spacing w:line="360" w:lineRule="auto"/>
        <w:ind w:firstLine="435"/>
        <w:jc w:val="left"/>
        <w:rPr>
          <w:rFonts w:hint="eastAsia" w:ascii="Times New Roman" w:hAnsi="Times New Roman" w:eastAsia="宋体" w:cs="Times New Roman"/>
          <w:lang w:eastAsia="zh-CN"/>
        </w:rPr>
      </w:pPr>
      <w:r>
        <w:rPr>
          <w:rFonts w:hint="eastAsia" w:ascii="Times New Roman" w:hAnsi="Times New Roman" w:eastAsia="宋体" w:cs="Times New Roman"/>
        </w:rPr>
        <w:t>为确保监测数据的真实可靠，故障排除后应进行现场测试比对，并填写相应的维修、比对数据记录</w:t>
      </w:r>
      <w:r>
        <w:rPr>
          <w:rFonts w:hint="eastAsia" w:ascii="Times New Roman" w:hAnsi="Times New Roman" w:eastAsia="宋体" w:cs="Times New Roman"/>
          <w:lang w:eastAsia="zh-CN"/>
        </w:rPr>
        <w:t>。</w:t>
      </w:r>
    </w:p>
    <w:p>
      <w:pPr>
        <w:spacing w:line="360" w:lineRule="auto"/>
        <w:rPr>
          <w:rFonts w:hint="eastAsia" w:ascii="黑体" w:hAnsi="黑体" w:eastAsia="黑体"/>
          <w:lang w:val="en-US" w:eastAsia="zh-CN"/>
        </w:rPr>
      </w:pPr>
      <w:r>
        <w:rPr>
          <w:rFonts w:hint="eastAsia" w:ascii="黑体" w:hAnsi="黑体" w:eastAsia="黑体"/>
          <w:lang w:val="en-US" w:eastAsia="zh-CN"/>
        </w:rPr>
        <w:t>3.3.10  关于“质量保证”</w:t>
      </w:r>
      <w:bookmarkStart w:id="22" w:name="_Toc32476"/>
    </w:p>
    <w:p>
      <w:pPr>
        <w:spacing w:line="360" w:lineRule="auto"/>
        <w:rPr>
          <w:rFonts w:hint="eastAsia" w:ascii="黑体" w:hAnsi="黑体" w:eastAsia="黑体"/>
          <w:lang w:val="en-US" w:eastAsia="zh-CN"/>
        </w:rPr>
      </w:pPr>
      <w:r>
        <w:rPr>
          <w:rFonts w:hint="eastAsia" w:ascii="黑体" w:hAnsi="黑体" w:eastAsia="黑体"/>
          <w:lang w:val="en-US" w:eastAsia="zh-CN"/>
        </w:rPr>
        <w:t>3.3.10.1 关于“质保要求”</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明确电磁辐射环境自动监测系统的质保要求，要按照相关规定开展质量保证和质量控制工作，实施全过程质量管理，做到监测结果真实可信，可以反映监测时的环境电磁辐射水平，有效降低人为干扰和测量误差所带来的不确定性。</w:t>
      </w:r>
    </w:p>
    <w:p>
      <w:pPr>
        <w:spacing w:line="360" w:lineRule="auto"/>
        <w:rPr>
          <w:rFonts w:hint="eastAsia" w:ascii="黑体" w:hAnsi="黑体" w:eastAsia="黑体"/>
          <w:lang w:val="en-US" w:eastAsia="zh-CN"/>
        </w:rPr>
      </w:pPr>
      <w:r>
        <w:rPr>
          <w:rFonts w:hint="eastAsia" w:ascii="黑体" w:hAnsi="黑体" w:eastAsia="黑体"/>
          <w:lang w:val="en-US" w:eastAsia="zh-CN"/>
        </w:rPr>
        <w:t>3.3.10.2  关于“</w:t>
      </w:r>
      <w:r>
        <w:rPr>
          <w:rFonts w:hint="eastAsia" w:ascii="黑体" w:hAnsi="黑体" w:eastAsia="黑体"/>
        </w:rPr>
        <w:t>量值溯源</w:t>
      </w:r>
      <w:r>
        <w:rPr>
          <w:rFonts w:hint="eastAsia" w:ascii="黑体" w:hAnsi="黑体" w:eastAsia="黑体"/>
          <w:lang w:val="en-US" w:eastAsia="zh-CN"/>
        </w:rPr>
        <w:t>”</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要求电磁辐射环境自动监测系统运行前或进行可能影响其性能的维护维修后，监测仪器应由具备资质的计量技术机构进行校准，保证量值可追溯至国家计量标准。</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测量结果应根据校准证书，选用合适的校准系数进行修正，以保证测量结果的准确性。</w:t>
      </w:r>
    </w:p>
    <w:p>
      <w:pPr>
        <w:spacing w:line="360" w:lineRule="auto"/>
        <w:rPr>
          <w:rFonts w:hint="eastAsia" w:ascii="黑体" w:hAnsi="黑体" w:eastAsia="黑体"/>
          <w:lang w:val="en-US" w:eastAsia="zh-CN"/>
        </w:rPr>
      </w:pPr>
      <w:r>
        <w:rPr>
          <w:rFonts w:hint="eastAsia" w:ascii="黑体" w:hAnsi="黑体" w:eastAsia="黑体"/>
          <w:lang w:val="en-US" w:eastAsia="zh-CN"/>
        </w:rPr>
        <w:t>3.3.10.3 关于“期间核查”</w:t>
      </w:r>
    </w:p>
    <w:p>
      <w:pPr>
        <w:spacing w:line="360" w:lineRule="auto"/>
        <w:ind w:firstLine="435"/>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明确了电磁辐射环境自动监测系统正常运行期间，期间核查的频次，以及期间核查的方式。</w:t>
      </w:r>
    </w:p>
    <w:p>
      <w:pPr>
        <w:spacing w:line="360" w:lineRule="auto"/>
        <w:ind w:firstLine="435"/>
        <w:rPr>
          <w:rFonts w:hint="eastAsia" w:ascii="Times New Roman" w:hAnsi="Times New Roman" w:eastAsia="宋体" w:cs="Times New Roman"/>
          <w:lang w:val="en-US" w:eastAsia="zh-CN"/>
        </w:rPr>
      </w:pPr>
    </w:p>
    <w:p>
      <w:pPr>
        <w:pStyle w:val="2"/>
        <w:rPr>
          <w:rFonts w:ascii="黑体" w:hAnsi="黑体" w:eastAsia="黑体"/>
          <w:b w:val="0"/>
          <w:sz w:val="28"/>
          <w:szCs w:val="28"/>
        </w:rPr>
      </w:pPr>
      <w:bookmarkStart w:id="23" w:name="_Toc30357"/>
      <w:r>
        <w:rPr>
          <w:rFonts w:ascii="黑体" w:hAnsi="黑体" w:eastAsia="黑体"/>
          <w:b w:val="0"/>
          <w:sz w:val="28"/>
          <w:szCs w:val="28"/>
        </w:rPr>
        <w:t>4 标准制订的目的和意义</w:t>
      </w:r>
      <w:bookmarkEnd w:id="22"/>
      <w:bookmarkEnd w:id="23"/>
    </w:p>
    <w:p>
      <w:pPr>
        <w:pStyle w:val="3"/>
        <w:spacing w:afterLines="50"/>
        <w:rPr>
          <w:rFonts w:ascii="黑体" w:hAnsi="黑体" w:eastAsia="黑体"/>
          <w:b w:val="0"/>
          <w:szCs w:val="24"/>
        </w:rPr>
      </w:pPr>
      <w:bookmarkStart w:id="24" w:name="_Toc18681"/>
      <w:bookmarkStart w:id="25" w:name="_Toc18830"/>
      <w:r>
        <w:rPr>
          <w:rFonts w:hint="eastAsia" w:ascii="黑体" w:hAnsi="黑体" w:eastAsia="黑体"/>
          <w:b w:val="0"/>
          <w:szCs w:val="24"/>
        </w:rPr>
        <w:t xml:space="preserve">4.1  </w:t>
      </w:r>
      <w:r>
        <w:rPr>
          <w:rFonts w:ascii="黑体" w:hAnsi="黑体" w:eastAsia="黑体"/>
          <w:b w:val="0"/>
          <w:szCs w:val="24"/>
        </w:rPr>
        <w:t>有助于“新基建”项目</w:t>
      </w:r>
      <w:r>
        <w:rPr>
          <w:rFonts w:hint="eastAsia" w:ascii="黑体" w:hAnsi="黑体" w:eastAsia="黑体"/>
          <w:b w:val="0"/>
          <w:szCs w:val="24"/>
          <w:lang w:val="en-US" w:eastAsia="zh-CN"/>
        </w:rPr>
        <w:t>优化</w:t>
      </w:r>
      <w:r>
        <w:rPr>
          <w:rFonts w:ascii="黑体" w:hAnsi="黑体" w:eastAsia="黑体"/>
          <w:b w:val="0"/>
          <w:szCs w:val="24"/>
        </w:rPr>
        <w:t>选址选点</w:t>
      </w:r>
      <w:bookmarkEnd w:id="24"/>
      <w:bookmarkEnd w:id="25"/>
    </w:p>
    <w:p>
      <w:pPr>
        <w:snapToGrid w:val="0"/>
        <w:spacing w:line="360" w:lineRule="auto"/>
        <w:ind w:firstLine="560"/>
        <w:rPr>
          <w:rFonts w:ascii="宋体" w:hAnsi="宋体" w:eastAsia="宋体"/>
          <w:szCs w:val="21"/>
        </w:rPr>
      </w:pPr>
      <w:r>
        <w:rPr>
          <w:rFonts w:ascii="宋体" w:hAnsi="宋体" w:eastAsia="宋体"/>
          <w:szCs w:val="21"/>
        </w:rPr>
        <w:t>通过电磁</w:t>
      </w:r>
      <w:r>
        <w:rPr>
          <w:rFonts w:hint="eastAsia" w:ascii="宋体" w:hAnsi="宋体" w:eastAsia="宋体"/>
          <w:szCs w:val="21"/>
          <w:lang w:val="en-US" w:eastAsia="zh-CN"/>
        </w:rPr>
        <w:t>环境质量自动监测</w:t>
      </w:r>
      <w:r>
        <w:rPr>
          <w:rFonts w:ascii="宋体" w:hAnsi="宋体" w:eastAsia="宋体"/>
          <w:szCs w:val="21"/>
        </w:rPr>
        <w:t>和电磁辐射</w:t>
      </w:r>
      <w:r>
        <w:rPr>
          <w:rFonts w:hint="eastAsia" w:ascii="宋体" w:hAnsi="宋体" w:eastAsia="宋体"/>
          <w:szCs w:val="21"/>
          <w:lang w:val="en-US" w:eastAsia="zh-CN"/>
        </w:rPr>
        <w:t>设施</w:t>
      </w:r>
      <w:r>
        <w:rPr>
          <w:rFonts w:ascii="宋体" w:hAnsi="宋体" w:eastAsia="宋体"/>
          <w:szCs w:val="21"/>
        </w:rPr>
        <w:t>自动监测，为“新基建”项目提供选址选</w:t>
      </w:r>
      <w:r>
        <w:rPr>
          <w:rFonts w:hint="eastAsia" w:ascii="宋体" w:hAnsi="宋体" w:eastAsia="宋体"/>
          <w:szCs w:val="21"/>
          <w:lang w:val="en-US" w:eastAsia="zh-CN"/>
        </w:rPr>
        <w:t>线</w:t>
      </w:r>
      <w:r>
        <w:rPr>
          <w:rFonts w:ascii="宋体" w:hAnsi="宋体" w:eastAsia="宋体"/>
          <w:szCs w:val="21"/>
        </w:rPr>
        <w:t>的数据支撑，保障区域电磁辐射</w:t>
      </w:r>
      <w:r>
        <w:rPr>
          <w:rFonts w:hint="eastAsia" w:ascii="宋体" w:hAnsi="宋体" w:eastAsia="宋体"/>
          <w:szCs w:val="21"/>
          <w:lang w:val="en-US" w:eastAsia="zh-CN"/>
        </w:rPr>
        <w:t>水平</w:t>
      </w:r>
      <w:r>
        <w:rPr>
          <w:rFonts w:ascii="宋体" w:hAnsi="宋体" w:eastAsia="宋体"/>
          <w:szCs w:val="21"/>
        </w:rPr>
        <w:t>满足国家标准。</w:t>
      </w:r>
    </w:p>
    <w:p>
      <w:pPr>
        <w:pStyle w:val="3"/>
        <w:rPr>
          <w:rFonts w:eastAsia="仿宋"/>
          <w:sz w:val="28"/>
          <w:szCs w:val="28"/>
        </w:rPr>
      </w:pPr>
      <w:bookmarkStart w:id="26" w:name="_Toc31720"/>
      <w:bookmarkStart w:id="27" w:name="_Toc25819"/>
      <w:r>
        <w:rPr>
          <w:rFonts w:hint="eastAsia" w:ascii="黑体" w:hAnsi="黑体" w:eastAsia="黑体"/>
          <w:b w:val="0"/>
          <w:szCs w:val="24"/>
        </w:rPr>
        <w:t xml:space="preserve">4.2  </w:t>
      </w:r>
      <w:r>
        <w:rPr>
          <w:rFonts w:ascii="黑体" w:hAnsi="黑体" w:eastAsia="黑体"/>
          <w:b w:val="0"/>
          <w:szCs w:val="24"/>
        </w:rPr>
        <w:t>有助于化解“新基建”项目产生的信访与投诉</w:t>
      </w:r>
      <w:bookmarkEnd w:id="26"/>
      <w:bookmarkEnd w:id="27"/>
    </w:p>
    <w:p>
      <w:pPr>
        <w:snapToGrid w:val="0"/>
        <w:spacing w:line="360" w:lineRule="auto"/>
        <w:ind w:firstLine="560"/>
        <w:rPr>
          <w:rFonts w:ascii="宋体" w:hAnsi="宋体" w:eastAsia="宋体"/>
          <w:szCs w:val="21"/>
        </w:rPr>
      </w:pPr>
      <w:r>
        <w:rPr>
          <w:rFonts w:ascii="宋体" w:hAnsi="宋体" w:eastAsia="宋体"/>
          <w:szCs w:val="21"/>
        </w:rPr>
        <w:t>通过高度透明的电磁辐射环境自动监测，解决因“新基建”项目建设与运营过程中电磁辐射环境自动连续监测数据缺失的状态，有效化解信访与投诉问题。</w:t>
      </w:r>
    </w:p>
    <w:p>
      <w:pPr>
        <w:pStyle w:val="3"/>
        <w:spacing w:afterLines="50"/>
        <w:rPr>
          <w:rFonts w:ascii="黑体" w:hAnsi="黑体" w:eastAsia="黑体"/>
          <w:b w:val="0"/>
          <w:szCs w:val="24"/>
        </w:rPr>
      </w:pPr>
      <w:bookmarkStart w:id="28" w:name="_Toc14262"/>
      <w:bookmarkStart w:id="29" w:name="_Toc5881"/>
      <w:r>
        <w:rPr>
          <w:rFonts w:hint="eastAsia" w:ascii="黑体" w:hAnsi="黑体" w:eastAsia="黑体"/>
          <w:b w:val="0"/>
          <w:szCs w:val="24"/>
        </w:rPr>
        <w:t>4.</w:t>
      </w:r>
      <w:r>
        <w:rPr>
          <w:rFonts w:ascii="黑体" w:hAnsi="黑体" w:eastAsia="黑体"/>
          <w:b w:val="0"/>
          <w:szCs w:val="24"/>
        </w:rPr>
        <w:t>3</w:t>
      </w:r>
      <w:r>
        <w:rPr>
          <w:rFonts w:hint="eastAsia" w:ascii="黑体" w:hAnsi="黑体" w:eastAsia="黑体"/>
          <w:b w:val="0"/>
          <w:szCs w:val="24"/>
          <w:lang w:val="en-US" w:eastAsia="zh-CN"/>
        </w:rPr>
        <w:t xml:space="preserve">  </w:t>
      </w:r>
      <w:r>
        <w:rPr>
          <w:rFonts w:ascii="黑体" w:hAnsi="黑体" w:eastAsia="黑体"/>
          <w:b w:val="0"/>
          <w:szCs w:val="24"/>
        </w:rPr>
        <w:t>有助于提高我省电磁辐射环境预警预报技术能力</w:t>
      </w:r>
      <w:bookmarkEnd w:id="28"/>
      <w:bookmarkEnd w:id="29"/>
    </w:p>
    <w:p>
      <w:pPr>
        <w:snapToGrid w:val="0"/>
        <w:spacing w:line="360" w:lineRule="auto"/>
        <w:ind w:firstLine="560"/>
        <w:rPr>
          <w:rFonts w:ascii="Times New Roman" w:hAnsi="Times New Roman" w:eastAsia="宋体" w:cs="Times New Roman"/>
          <w:szCs w:val="21"/>
        </w:rPr>
      </w:pPr>
      <w:r>
        <w:rPr>
          <w:rFonts w:ascii="Times New Roman" w:hAnsi="Times New Roman" w:eastAsia="宋体" w:cs="Times New Roman"/>
          <w:szCs w:val="21"/>
        </w:rPr>
        <w:t>根据国务院办公厅《印发生态环境监测网络建设方案的通知》（国办发﹝2015﹞56号）的要求</w:t>
      </w:r>
      <w:r>
        <w:rPr>
          <w:rFonts w:hint="eastAsia" w:ascii="Times New Roman" w:hAnsi="Times New Roman" w:eastAsia="宋体" w:cs="Times New Roman"/>
          <w:szCs w:val="21"/>
          <w:lang w:eastAsia="zh-CN"/>
        </w:rPr>
        <w:t>“</w:t>
      </w:r>
      <w:r>
        <w:rPr>
          <w:rFonts w:ascii="Times New Roman" w:hAnsi="Times New Roman" w:eastAsia="宋体" w:cs="Times New Roman"/>
          <w:szCs w:val="21"/>
        </w:rPr>
        <w:t>自动预警，科学引导环境管理与风险防范</w:t>
      </w:r>
      <w:r>
        <w:rPr>
          <w:rFonts w:hint="eastAsia" w:ascii="Times New Roman" w:hAnsi="Times New Roman" w:eastAsia="宋体" w:cs="Times New Roman"/>
          <w:szCs w:val="21"/>
          <w:lang w:eastAsia="zh-CN"/>
        </w:rPr>
        <w:t>”</w:t>
      </w:r>
      <w:r>
        <w:rPr>
          <w:rFonts w:ascii="Times New Roman" w:hAnsi="Times New Roman" w:eastAsia="宋体" w:cs="Times New Roman"/>
          <w:szCs w:val="21"/>
        </w:rPr>
        <w:t>。制订本标准，将保障电磁辐射环境自动监测数据的合规性，提升电磁辐射环境自动监测预报预警技术能力。通过对电磁辐射环境自动监测数据的分析，为政府相关部门快速决策，提供支撑。</w:t>
      </w:r>
    </w:p>
    <w:p>
      <w:pPr>
        <w:pStyle w:val="3"/>
        <w:spacing w:afterLines="50"/>
        <w:rPr>
          <w:rFonts w:ascii="黑体" w:hAnsi="黑体" w:eastAsia="黑体"/>
          <w:b w:val="0"/>
          <w:szCs w:val="24"/>
        </w:rPr>
      </w:pPr>
      <w:bookmarkStart w:id="30" w:name="_Toc11566"/>
      <w:bookmarkStart w:id="31" w:name="_Toc29306"/>
      <w:r>
        <w:rPr>
          <w:rFonts w:hint="eastAsia" w:ascii="黑体" w:hAnsi="黑体" w:eastAsia="黑体"/>
          <w:b w:val="0"/>
          <w:szCs w:val="24"/>
        </w:rPr>
        <w:t>4.</w:t>
      </w:r>
      <w:r>
        <w:rPr>
          <w:rFonts w:ascii="黑体" w:hAnsi="黑体" w:eastAsia="黑体"/>
          <w:b w:val="0"/>
          <w:szCs w:val="24"/>
        </w:rPr>
        <w:t>4</w:t>
      </w:r>
      <w:r>
        <w:rPr>
          <w:rFonts w:hint="eastAsia" w:ascii="黑体" w:hAnsi="黑体" w:eastAsia="黑体"/>
          <w:b w:val="0"/>
          <w:szCs w:val="24"/>
          <w:lang w:val="en-US" w:eastAsia="zh-CN"/>
        </w:rPr>
        <w:t xml:space="preserve">  </w:t>
      </w:r>
      <w:r>
        <w:rPr>
          <w:rFonts w:ascii="黑体" w:hAnsi="黑体" w:eastAsia="黑体"/>
          <w:b w:val="0"/>
          <w:szCs w:val="24"/>
        </w:rPr>
        <w:t>有助于完善我省电磁辐射环境监测技术能力</w:t>
      </w:r>
      <w:bookmarkEnd w:id="30"/>
      <w:bookmarkEnd w:id="31"/>
    </w:p>
    <w:p>
      <w:pPr>
        <w:snapToGrid w:val="0"/>
        <w:spacing w:line="360" w:lineRule="auto"/>
        <w:ind w:firstLine="560"/>
        <w:rPr>
          <w:rFonts w:ascii="宋体" w:hAnsi="宋体" w:eastAsia="宋体"/>
          <w:szCs w:val="21"/>
        </w:rPr>
      </w:pPr>
      <w:r>
        <w:rPr>
          <w:rFonts w:ascii="宋体" w:hAnsi="宋体" w:eastAsia="宋体"/>
          <w:szCs w:val="21"/>
        </w:rPr>
        <w:t>目前我省电磁国控点监测以人工手持监测仪器逐点测量为主，监测时间为一年中的某个时间段，无法满足全时段、全要素、全覆盖的要求，存在</w:t>
      </w:r>
      <w:r>
        <w:rPr>
          <w:rFonts w:hint="eastAsia" w:ascii="宋体" w:hAnsi="宋体" w:eastAsia="宋体"/>
          <w:szCs w:val="21"/>
          <w:lang w:val="en-US" w:eastAsia="zh-CN"/>
        </w:rPr>
        <w:t>电磁</w:t>
      </w:r>
      <w:r>
        <w:rPr>
          <w:rFonts w:ascii="宋体" w:hAnsi="宋体" w:eastAsia="宋体"/>
          <w:szCs w:val="21"/>
        </w:rPr>
        <w:t>环境质量监测的不确定性。本标准的出台，将有利于规范全时段、全要素、全覆盖所采集到的电磁辐射环境自动监测数据，提高我省电磁辐射环境监测技术能力。</w:t>
      </w:r>
    </w:p>
    <w:p>
      <w:pPr>
        <w:pStyle w:val="3"/>
        <w:spacing w:afterLines="50"/>
        <w:rPr>
          <w:rFonts w:eastAsia="仿宋"/>
          <w:sz w:val="28"/>
          <w:szCs w:val="28"/>
        </w:rPr>
      </w:pPr>
      <w:bookmarkStart w:id="32" w:name="_Toc7695"/>
      <w:bookmarkStart w:id="33" w:name="_Toc20628"/>
      <w:r>
        <w:rPr>
          <w:rFonts w:hint="eastAsia" w:ascii="黑体" w:hAnsi="黑体" w:eastAsia="黑体"/>
          <w:b w:val="0"/>
          <w:szCs w:val="24"/>
        </w:rPr>
        <w:t>4.</w:t>
      </w:r>
      <w:r>
        <w:rPr>
          <w:rFonts w:ascii="黑体" w:hAnsi="黑体" w:eastAsia="黑体"/>
          <w:b w:val="0"/>
          <w:szCs w:val="24"/>
        </w:rPr>
        <w:t>5</w:t>
      </w:r>
      <w:r>
        <w:rPr>
          <w:rFonts w:hint="eastAsia" w:ascii="黑体" w:hAnsi="黑体" w:eastAsia="黑体"/>
          <w:b w:val="0"/>
          <w:szCs w:val="24"/>
          <w:lang w:val="en-US" w:eastAsia="zh-CN"/>
        </w:rPr>
        <w:t xml:space="preserve">  </w:t>
      </w:r>
      <w:r>
        <w:rPr>
          <w:rFonts w:ascii="黑体" w:hAnsi="黑体" w:eastAsia="黑体"/>
          <w:b w:val="0"/>
          <w:szCs w:val="24"/>
        </w:rPr>
        <w:t>有助于推动我省电磁辐射环境自动监测的数字</w:t>
      </w:r>
      <w:r>
        <w:rPr>
          <w:rFonts w:hint="eastAsia" w:ascii="黑体" w:hAnsi="黑体" w:eastAsia="黑体"/>
          <w:b w:val="0"/>
          <w:szCs w:val="24"/>
        </w:rPr>
        <w:t>化</w:t>
      </w:r>
      <w:bookmarkEnd w:id="32"/>
      <w:bookmarkEnd w:id="33"/>
    </w:p>
    <w:p>
      <w:pPr>
        <w:snapToGrid w:val="0"/>
        <w:spacing w:line="360" w:lineRule="auto"/>
        <w:ind w:firstLine="560"/>
        <w:rPr>
          <w:rFonts w:ascii="宋体" w:hAnsi="宋体" w:eastAsia="宋体"/>
          <w:szCs w:val="21"/>
        </w:rPr>
      </w:pPr>
      <w:r>
        <w:rPr>
          <w:rFonts w:hint="eastAsia" w:ascii="宋体" w:hAnsi="宋体" w:eastAsia="宋体"/>
          <w:szCs w:val="21"/>
          <w:shd w:val="clear" w:color="auto" w:fill="FFFFFF"/>
          <w:lang w:val="en-US" w:eastAsia="zh-CN"/>
        </w:rPr>
        <w:t>本标准的制订有助于</w:t>
      </w:r>
      <w:r>
        <w:rPr>
          <w:rFonts w:ascii="宋体" w:hAnsi="宋体" w:eastAsia="宋体"/>
          <w:szCs w:val="21"/>
          <w:shd w:val="clear" w:color="auto" w:fill="FFFFFF"/>
        </w:rPr>
        <w:t>完善电磁</w:t>
      </w:r>
      <w:r>
        <w:rPr>
          <w:rFonts w:hint="eastAsia" w:ascii="宋体" w:hAnsi="宋体" w:eastAsia="宋体"/>
          <w:szCs w:val="21"/>
          <w:shd w:val="clear" w:color="auto" w:fill="FFFFFF"/>
        </w:rPr>
        <w:t>辐射生态</w:t>
      </w:r>
      <w:r>
        <w:rPr>
          <w:rFonts w:ascii="宋体" w:hAnsi="宋体" w:eastAsia="宋体"/>
          <w:szCs w:val="21"/>
          <w:shd w:val="clear" w:color="auto" w:fill="FFFFFF"/>
        </w:rPr>
        <w:t>环境全要素态势感知，运用自动监控，构建电磁辐射生态环境数字治理体系和电磁辐射生态环境质量评价体系，提升电磁辐射环境监测智能化水平，打造美丽中国先行示范区。</w:t>
      </w:r>
    </w:p>
    <w:p>
      <w:pPr>
        <w:pStyle w:val="2"/>
        <w:rPr>
          <w:rFonts w:ascii="黑体" w:hAnsi="黑体" w:eastAsia="黑体"/>
          <w:b w:val="0"/>
          <w:sz w:val="28"/>
          <w:szCs w:val="28"/>
        </w:rPr>
      </w:pPr>
      <w:bookmarkStart w:id="34" w:name="_Toc13249"/>
      <w:bookmarkStart w:id="35" w:name="_Toc20961"/>
      <w:bookmarkStart w:id="36" w:name="_Toc14176"/>
      <w:r>
        <w:rPr>
          <w:rFonts w:hint="eastAsia" w:ascii="黑体" w:hAnsi="黑体" w:eastAsia="黑体"/>
          <w:b w:val="0"/>
          <w:sz w:val="28"/>
          <w:szCs w:val="28"/>
        </w:rPr>
        <w:t xml:space="preserve">5  </w:t>
      </w:r>
      <w:r>
        <w:rPr>
          <w:rFonts w:ascii="黑体" w:hAnsi="黑体" w:eastAsia="黑体"/>
          <w:b w:val="0"/>
          <w:sz w:val="28"/>
          <w:szCs w:val="28"/>
        </w:rPr>
        <w:t>国内外相关应用研究</w:t>
      </w:r>
      <w:bookmarkEnd w:id="34"/>
      <w:bookmarkEnd w:id="35"/>
    </w:p>
    <w:p>
      <w:pPr>
        <w:pStyle w:val="3"/>
        <w:rPr>
          <w:rFonts w:hint="default" w:ascii="黑体" w:hAnsi="黑体" w:eastAsia="黑体"/>
          <w:b w:val="0"/>
          <w:szCs w:val="24"/>
          <w:lang w:val="en-US" w:eastAsia="zh-CN"/>
        </w:rPr>
      </w:pPr>
      <w:bookmarkStart w:id="37" w:name="_Toc29405"/>
      <w:r>
        <w:rPr>
          <w:rFonts w:hint="eastAsia" w:ascii="黑体" w:hAnsi="黑体" w:eastAsia="黑体"/>
          <w:b w:val="0"/>
          <w:szCs w:val="24"/>
        </w:rPr>
        <w:t>5.1  电磁辐射环境自动监测系统</w:t>
      </w:r>
      <w:r>
        <w:rPr>
          <w:rFonts w:hint="eastAsia" w:ascii="黑体" w:hAnsi="黑体" w:eastAsia="黑体"/>
          <w:b w:val="0"/>
          <w:szCs w:val="24"/>
          <w:lang w:val="en-US" w:eastAsia="zh-CN"/>
        </w:rPr>
        <w:t>基本组成</w:t>
      </w:r>
      <w:bookmarkEnd w:id="37"/>
    </w:p>
    <w:p>
      <w:pPr>
        <w:spacing w:line="360" w:lineRule="auto"/>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电磁辐射环境自动监测系统主要包括测量终端、数据传输、数据管理平台、</w:t>
      </w:r>
      <w:r>
        <w:rPr>
          <w:rFonts w:hint="eastAsia" w:ascii="Times New Roman" w:hAnsi="Times New Roman" w:eastAsia="宋体" w:cs="Times New Roman"/>
          <w:bCs/>
          <w:szCs w:val="21"/>
          <w:lang w:val="en-US" w:eastAsia="zh-CN"/>
        </w:rPr>
        <w:t>屏幕</w:t>
      </w:r>
      <w:r>
        <w:rPr>
          <w:rFonts w:hint="eastAsia" w:ascii="Times New Roman" w:hAnsi="Times New Roman" w:eastAsia="宋体" w:cs="Times New Roman"/>
          <w:bCs/>
          <w:szCs w:val="21"/>
        </w:rPr>
        <w:t>展示</w:t>
      </w:r>
      <w:r>
        <w:rPr>
          <w:rFonts w:hint="eastAsia" w:ascii="Times New Roman" w:hAnsi="Times New Roman" w:eastAsia="宋体" w:cs="Times New Roman"/>
          <w:bCs/>
          <w:szCs w:val="21"/>
          <w:lang w:val="en-US" w:eastAsia="zh-CN"/>
        </w:rPr>
        <w:t>等</w:t>
      </w:r>
      <w:r>
        <w:rPr>
          <w:rFonts w:hint="eastAsia" w:ascii="Times New Roman" w:hAnsi="Times New Roman" w:eastAsia="宋体" w:cs="Times New Roman"/>
          <w:bCs/>
          <w:szCs w:val="21"/>
        </w:rPr>
        <w:t>组成部分。通过</w:t>
      </w:r>
      <w:r>
        <w:rPr>
          <w:rFonts w:hint="eastAsia" w:ascii="Times New Roman" w:hAnsi="Times New Roman" w:eastAsia="宋体" w:cs="Times New Roman"/>
          <w:bCs/>
          <w:szCs w:val="21"/>
          <w:lang w:val="en-US" w:eastAsia="zh-CN"/>
        </w:rPr>
        <w:t>站</w:t>
      </w:r>
      <w:r>
        <w:rPr>
          <w:rFonts w:hint="eastAsia" w:ascii="Times New Roman" w:hAnsi="Times New Roman" w:eastAsia="宋体" w:cs="Times New Roman"/>
          <w:bCs/>
          <w:szCs w:val="21"/>
        </w:rPr>
        <w:t>点的测量终端对</w:t>
      </w:r>
      <w:r>
        <w:rPr>
          <w:rFonts w:hint="eastAsia" w:ascii="Times New Roman" w:hAnsi="Times New Roman" w:eastAsia="宋体" w:cs="Times New Roman"/>
          <w:bCs/>
          <w:szCs w:val="21"/>
          <w:lang w:val="en-US" w:eastAsia="zh-CN"/>
        </w:rPr>
        <w:t>固定</w:t>
      </w:r>
      <w:r>
        <w:rPr>
          <w:rFonts w:hint="eastAsia" w:ascii="Times New Roman" w:hAnsi="Times New Roman" w:eastAsia="宋体" w:cs="Times New Roman"/>
          <w:bCs/>
          <w:szCs w:val="21"/>
        </w:rPr>
        <w:t>监测位置进行连续、实时监测</w:t>
      </w:r>
      <w:r>
        <w:rPr>
          <w:rFonts w:hint="eastAsia" w:ascii="Times New Roman" w:hAnsi="Times New Roman" w:eastAsia="宋体" w:cs="Times New Roman"/>
          <w:bCs/>
          <w:szCs w:val="21"/>
          <w:lang w:eastAsia="zh-CN"/>
        </w:rPr>
        <w:t>，</w:t>
      </w:r>
      <w:r>
        <w:rPr>
          <w:rFonts w:hint="eastAsia" w:ascii="Times New Roman" w:hAnsi="Times New Roman" w:eastAsia="宋体" w:cs="Times New Roman"/>
          <w:bCs/>
          <w:szCs w:val="21"/>
          <w:lang w:val="en-US" w:eastAsia="zh-CN"/>
        </w:rPr>
        <w:t>系统</w:t>
      </w:r>
      <w:r>
        <w:rPr>
          <w:rFonts w:hint="eastAsia" w:ascii="Times New Roman" w:hAnsi="Times New Roman" w:eastAsia="宋体" w:cs="Times New Roman"/>
          <w:bCs/>
          <w:szCs w:val="21"/>
        </w:rPr>
        <w:t>将采集数据记录、存储、上传至服务器</w:t>
      </w:r>
      <w:r>
        <w:rPr>
          <w:rFonts w:hint="eastAsia" w:ascii="Times New Roman" w:hAnsi="Times New Roman" w:eastAsia="宋体" w:cs="Times New Roman"/>
          <w:bCs/>
          <w:szCs w:val="21"/>
          <w:lang w:eastAsia="zh-CN"/>
        </w:rPr>
        <w:t>；</w:t>
      </w:r>
      <w:r>
        <w:rPr>
          <w:rFonts w:hint="eastAsia" w:ascii="Times New Roman" w:hAnsi="Times New Roman" w:eastAsia="宋体" w:cs="Times New Roman"/>
          <w:bCs/>
          <w:szCs w:val="21"/>
        </w:rPr>
        <w:t>服务器对数据在本地进行长久保存</w:t>
      </w:r>
      <w:r>
        <w:rPr>
          <w:rFonts w:hint="eastAsia" w:ascii="Times New Roman" w:hAnsi="Times New Roman" w:eastAsia="宋体" w:cs="Times New Roman"/>
          <w:bCs/>
          <w:szCs w:val="21"/>
          <w:lang w:val="en-US" w:eastAsia="zh-CN"/>
        </w:rPr>
        <w:t>或上传到数据库</w:t>
      </w:r>
      <w:r>
        <w:rPr>
          <w:rFonts w:hint="eastAsia" w:ascii="Times New Roman" w:hAnsi="Times New Roman" w:eastAsia="宋体" w:cs="Times New Roman"/>
          <w:bCs/>
          <w:szCs w:val="21"/>
        </w:rPr>
        <w:t>，对数据进行初步的判断，如有超阈值等异常事件发生自动启动报警流程，管理员及时收到告警信息进行处理。</w:t>
      </w:r>
      <w:r>
        <w:rPr>
          <w:rFonts w:ascii="Times New Roman" w:hAnsi="Times New Roman" w:eastAsia="宋体" w:cs="Times New Roman"/>
          <w:bCs/>
          <w:szCs w:val="21"/>
        </w:rPr>
        <w:t>监测系统</w:t>
      </w:r>
      <w:r>
        <w:rPr>
          <w:rFonts w:hint="eastAsia" w:ascii="Times New Roman" w:hAnsi="Times New Roman" w:eastAsia="宋体" w:cs="Times New Roman"/>
          <w:bCs/>
          <w:szCs w:val="21"/>
        </w:rPr>
        <w:t>基本组成</w:t>
      </w:r>
      <w:r>
        <w:rPr>
          <w:rFonts w:ascii="Times New Roman" w:hAnsi="Times New Roman" w:eastAsia="宋体" w:cs="Times New Roman"/>
          <w:bCs/>
          <w:szCs w:val="21"/>
        </w:rPr>
        <w:t>和原理如下图5-1和图5-2。</w:t>
      </w:r>
    </w:p>
    <w:p>
      <w:pPr>
        <w:widowControl/>
        <w:spacing w:line="360" w:lineRule="auto"/>
        <w:rPr>
          <w:rFonts w:ascii="Times New Roman" w:hAnsi="Times New Roman" w:eastAsia="宋体" w:cs="Times New Roman"/>
        </w:rPr>
      </w:pPr>
      <w:r>
        <w:rPr>
          <w:rFonts w:ascii="Times New Roman" w:hAnsi="Times New Roman" w:cs="Times New Roman"/>
        </w:rPr>
        <w:drawing>
          <wp:inline distT="0" distB="0" distL="0" distR="0">
            <wp:extent cx="5177790" cy="1988185"/>
            <wp:effectExtent l="9525" t="9525" r="19685" b="21590"/>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noChangeArrowheads="1"/>
                    </pic:cNvPicPr>
                  </pic:nvPicPr>
                  <pic:blipFill>
                    <a:blip r:embed="rId7" cstate="print"/>
                    <a:srcRect/>
                    <a:stretch>
                      <a:fillRect/>
                    </a:stretch>
                  </pic:blipFill>
                  <pic:spPr>
                    <a:xfrm>
                      <a:off x="0" y="0"/>
                      <a:ext cx="5177790" cy="1988185"/>
                    </a:xfrm>
                    <a:prstGeom prst="rect">
                      <a:avLst/>
                    </a:prstGeom>
                    <a:noFill/>
                    <a:ln w="9525" cmpd="sng">
                      <a:solidFill>
                        <a:srgbClr val="000000"/>
                      </a:solidFill>
                      <a:miter lim="800000"/>
                      <a:headEnd/>
                      <a:tailEnd/>
                    </a:ln>
                    <a:effectLst/>
                  </pic:spPr>
                </pic:pic>
              </a:graphicData>
            </a:graphic>
          </wp:inline>
        </w:drawing>
      </w:r>
    </w:p>
    <w:p>
      <w:pPr>
        <w:widowControl/>
        <w:spacing w:line="360" w:lineRule="auto"/>
        <w:ind w:firstLine="420" w:firstLineChars="200"/>
        <w:jc w:val="center"/>
        <w:rPr>
          <w:rFonts w:ascii="Times New Roman" w:hAnsi="Times New Roman" w:eastAsia="宋体" w:cs="Times New Roman"/>
        </w:rPr>
      </w:pPr>
      <w:r>
        <w:rPr>
          <w:rFonts w:ascii="Times New Roman" w:hAnsi="Times New Roman" w:eastAsia="宋体" w:cs="Times New Roman"/>
        </w:rPr>
        <w:t xml:space="preserve">图5-1 </w:t>
      </w:r>
      <w:r>
        <w:rPr>
          <w:rFonts w:ascii="Times New Roman" w:hAnsi="Times New Roman" w:eastAsia="宋体" w:cs="Times New Roman"/>
          <w:szCs w:val="21"/>
        </w:rPr>
        <w:t>电磁辐射环境自动监测</w:t>
      </w:r>
      <w:r>
        <w:rPr>
          <w:rFonts w:ascii="Times New Roman" w:hAnsi="Times New Roman" w:eastAsia="宋体" w:cs="Times New Roman"/>
        </w:rPr>
        <w:t>系统</w:t>
      </w:r>
      <w:r>
        <w:rPr>
          <w:rFonts w:hint="eastAsia" w:ascii="Times New Roman" w:hAnsi="Times New Roman" w:eastAsia="宋体" w:cs="Times New Roman"/>
          <w:bCs/>
          <w:szCs w:val="21"/>
        </w:rPr>
        <w:t>基本组成</w:t>
      </w:r>
    </w:p>
    <w:p>
      <w:pPr>
        <w:widowControl/>
        <w:spacing w:line="360" w:lineRule="auto"/>
        <w:ind w:firstLine="420" w:firstLineChars="200"/>
        <w:jc w:val="center"/>
        <w:rPr>
          <w:rFonts w:ascii="Times New Roman" w:hAnsi="Times New Roman" w:eastAsia="宋体" w:cs="Times New Roman"/>
        </w:rPr>
      </w:pPr>
      <w:r>
        <w:rPr>
          <w:rFonts w:ascii="Times New Roman" w:hAnsi="Times New Roman" w:cs="Times New Roman"/>
        </w:rPr>
        <w:drawing>
          <wp:inline distT="0" distB="0" distL="0" distR="0">
            <wp:extent cx="3668395" cy="3009265"/>
            <wp:effectExtent l="9525" t="9525" r="17780" b="1651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8" cstate="print"/>
                    <a:srcRect/>
                    <a:stretch>
                      <a:fillRect/>
                    </a:stretch>
                  </pic:blipFill>
                  <pic:spPr>
                    <a:xfrm>
                      <a:off x="0" y="0"/>
                      <a:ext cx="3668395" cy="3009265"/>
                    </a:xfrm>
                    <a:prstGeom prst="rect">
                      <a:avLst/>
                    </a:prstGeom>
                    <a:noFill/>
                    <a:ln w="9525" cmpd="sng">
                      <a:solidFill>
                        <a:srgbClr val="000000"/>
                      </a:solidFill>
                      <a:miter lim="800000"/>
                      <a:headEnd/>
                      <a:tailEnd/>
                    </a:ln>
                    <a:effectLst/>
                  </pic:spPr>
                </pic:pic>
              </a:graphicData>
            </a:graphic>
          </wp:inline>
        </w:drawing>
      </w:r>
    </w:p>
    <w:p>
      <w:pPr>
        <w:widowControl/>
        <w:spacing w:line="360" w:lineRule="auto"/>
        <w:ind w:firstLine="420" w:firstLineChars="200"/>
        <w:jc w:val="center"/>
        <w:rPr>
          <w:rFonts w:ascii="Times New Roman" w:hAnsi="Times New Roman" w:eastAsia="宋体" w:cs="Times New Roman"/>
        </w:rPr>
      </w:pPr>
      <w:r>
        <w:rPr>
          <w:rFonts w:ascii="Times New Roman" w:hAnsi="Times New Roman" w:eastAsia="宋体" w:cs="Times New Roman"/>
        </w:rPr>
        <w:t xml:space="preserve">图5-2 </w:t>
      </w:r>
      <w:r>
        <w:rPr>
          <w:rFonts w:ascii="Times New Roman" w:hAnsi="Times New Roman" w:eastAsia="宋体" w:cs="Times New Roman"/>
          <w:szCs w:val="21"/>
        </w:rPr>
        <w:t>电磁辐射环境自动监测</w:t>
      </w:r>
      <w:r>
        <w:rPr>
          <w:rFonts w:ascii="Times New Roman" w:hAnsi="Times New Roman" w:eastAsia="宋体" w:cs="Times New Roman"/>
        </w:rPr>
        <w:t>系统组成图</w:t>
      </w:r>
    </w:p>
    <w:p>
      <w:pPr>
        <w:widowControl/>
        <w:spacing w:line="360" w:lineRule="auto"/>
        <w:ind w:firstLine="420" w:firstLineChars="200"/>
        <w:rPr>
          <w:rFonts w:ascii="Times New Roman" w:hAnsi="Times New Roman" w:eastAsia="宋体" w:cs="Times New Roman"/>
        </w:rPr>
      </w:pPr>
      <w:r>
        <w:rPr>
          <w:rFonts w:ascii="Times New Roman" w:hAnsi="Times New Roman" w:eastAsia="宋体" w:cs="Times New Roman"/>
        </w:rPr>
        <w:t>在国内市场有实际建设及运行的产品及厂家如下：</w:t>
      </w:r>
    </w:p>
    <w:p>
      <w:pPr>
        <w:widowControl/>
        <w:spacing w:line="360" w:lineRule="auto"/>
        <w:ind w:firstLine="420" w:firstLineChars="200"/>
        <w:jc w:val="center"/>
        <w:rPr>
          <w:rFonts w:ascii="Times New Roman" w:hAnsi="Times New Roman" w:eastAsia="宋体" w:cs="Times New Roman"/>
        </w:rPr>
      </w:pPr>
    </w:p>
    <w:p>
      <w:pPr>
        <w:widowControl/>
        <w:spacing w:line="360" w:lineRule="auto"/>
        <w:ind w:firstLine="420" w:firstLineChars="200"/>
        <w:jc w:val="center"/>
        <w:rPr>
          <w:rFonts w:ascii="Times New Roman" w:hAnsi="Times New Roman" w:eastAsia="宋体" w:cs="Times New Roman"/>
        </w:rPr>
      </w:pPr>
      <w:r>
        <w:rPr>
          <w:rFonts w:ascii="Times New Roman" w:hAnsi="Times New Roman" w:eastAsia="宋体" w:cs="Times New Roman"/>
        </w:rPr>
        <w:t>表5-</w:t>
      </w:r>
      <w:r>
        <w:rPr>
          <w:rFonts w:hint="eastAsia" w:ascii="Times New Roman" w:hAnsi="Times New Roman" w:eastAsia="宋体" w:cs="Times New Roman"/>
          <w:lang w:val="en-US" w:eastAsia="zh-CN"/>
        </w:rPr>
        <w:t>1</w:t>
      </w:r>
      <w:r>
        <w:rPr>
          <w:rFonts w:ascii="Times New Roman" w:hAnsi="Times New Roman" w:eastAsia="宋体" w:cs="Times New Roman"/>
        </w:rPr>
        <w:t xml:space="preserve"> 主要</w:t>
      </w:r>
      <w:r>
        <w:rPr>
          <w:rFonts w:ascii="Times New Roman" w:hAnsi="Times New Roman" w:eastAsia="宋体" w:cs="Times New Roman"/>
          <w:szCs w:val="21"/>
        </w:rPr>
        <w:t>电磁辐射环境自动监测</w:t>
      </w:r>
      <w:r>
        <w:rPr>
          <w:rFonts w:ascii="Times New Roman" w:hAnsi="Times New Roman" w:eastAsia="宋体" w:cs="Times New Roman"/>
        </w:rPr>
        <w:t>系统厂家</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1500"/>
        <w:gridCol w:w="59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厂家</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产品型号</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2" w:firstLineChars="20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trPr>
        <w:tc>
          <w:tcPr>
            <w:tcW w:w="649" w:type="pct"/>
            <w:vMerge w:val="restart"/>
            <w:tcBorders>
              <w:top w:val="single" w:color="auto" w:sz="4" w:space="0"/>
              <w:left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**科技</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OS系列</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自主研发一体化在线监测系统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vMerge w:val="continue"/>
            <w:tcBorders>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OEMS-8057</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使用德国Narda、德国Mescheck探头进行系统集成，已停产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北京**</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MonitEM</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基于西班牙Wavecontrol公司 MonitEM型设备进行系统集成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**信测</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XC800</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自主研发一体化在线监测系统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杭州**</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ROMS</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使用多个厂家探头进行系统集成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瑞*保</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EmeShow1000</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自主研发一体化在线监测系统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四川**</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用户自行集成后自用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Nar**</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AMB8057</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用户自行集成后自用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9" w:type="pct"/>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**大学</w:t>
            </w:r>
          </w:p>
        </w:tc>
        <w:tc>
          <w:tcPr>
            <w:tcW w:w="841"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3509" w:type="pct"/>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基于科研课题建设，未市场化</w:t>
            </w:r>
          </w:p>
        </w:tc>
      </w:tr>
    </w:tbl>
    <w:p>
      <w:pPr>
        <w:widowControl/>
        <w:spacing w:line="360" w:lineRule="auto"/>
        <w:ind w:firstLine="420" w:firstLineChars="200"/>
        <w:rPr>
          <w:rFonts w:ascii="Times New Roman" w:hAnsi="Times New Roman" w:eastAsia="宋体" w:cs="Times New Roman"/>
        </w:rPr>
      </w:pPr>
      <w:r>
        <w:rPr>
          <w:rFonts w:ascii="Times New Roman" w:hAnsi="Times New Roman" w:eastAsia="宋体" w:cs="Times New Roman"/>
        </w:rPr>
        <w:t>根据监测对象的不同，已建及在建</w:t>
      </w:r>
      <w:r>
        <w:rPr>
          <w:rFonts w:ascii="Times New Roman" w:hAnsi="Times New Roman" w:eastAsia="宋体" w:cs="Times New Roman"/>
          <w:szCs w:val="21"/>
        </w:rPr>
        <w:t>电磁辐射环境自动监测</w:t>
      </w:r>
      <w:r>
        <w:rPr>
          <w:rFonts w:ascii="Times New Roman" w:hAnsi="Times New Roman" w:eastAsia="宋体" w:cs="Times New Roman"/>
        </w:rPr>
        <w:t>系统的统计如下：</w:t>
      </w:r>
    </w:p>
    <w:p>
      <w:pPr>
        <w:widowControl/>
        <w:spacing w:line="360" w:lineRule="auto"/>
        <w:ind w:firstLine="420" w:firstLineChars="200"/>
        <w:jc w:val="center"/>
        <w:rPr>
          <w:rFonts w:ascii="Times New Roman" w:hAnsi="Times New Roman" w:eastAsia="宋体" w:cs="Times New Roman"/>
        </w:rPr>
      </w:pPr>
      <w:r>
        <w:rPr>
          <w:rFonts w:ascii="Times New Roman" w:hAnsi="Times New Roman" w:eastAsia="宋体" w:cs="Times New Roman"/>
        </w:rPr>
        <w:t>表5-</w:t>
      </w:r>
      <w:r>
        <w:rPr>
          <w:rFonts w:hint="eastAsia" w:ascii="Times New Roman" w:hAnsi="Times New Roman" w:eastAsia="宋体" w:cs="Times New Roman"/>
          <w:lang w:val="en-US" w:eastAsia="zh-CN"/>
        </w:rPr>
        <w:t>2</w:t>
      </w:r>
      <w:r>
        <w:rPr>
          <w:rFonts w:ascii="Times New Roman" w:hAnsi="Times New Roman" w:eastAsia="宋体" w:cs="Times New Roman"/>
        </w:rPr>
        <w:t xml:space="preserve"> 电磁辐射环境自动监测系统的监测对象类别</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1"/>
        <w:gridCol w:w="2083"/>
        <w:gridCol w:w="3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监测对象</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数量（台）</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eastAsia"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建设</w:t>
            </w:r>
            <w:r>
              <w:rPr>
                <w:rFonts w:hint="eastAsia" w:ascii="Times New Roman" w:hAnsi="Times New Roman" w:eastAsia="宋体" w:cs="Times New Roman"/>
                <w:b/>
                <w:bCs/>
                <w:sz w:val="21"/>
                <w:szCs w:val="21"/>
                <w:lang w:val="en-US" w:eastAsia="zh-CN"/>
              </w:rPr>
              <w:t>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电磁环境质量</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99</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变电站</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98</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电力及环保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雷达</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军工单位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移动通信基站</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移动运营商及环保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广播电视发射</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07"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高铁线路</w:t>
            </w:r>
          </w:p>
        </w:tc>
        <w:tc>
          <w:tcPr>
            <w:tcW w:w="1222"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970"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环保</w:t>
            </w:r>
          </w:p>
        </w:tc>
      </w:tr>
    </w:tbl>
    <w:p>
      <w:pPr>
        <w:pStyle w:val="3"/>
        <w:rPr>
          <w:rFonts w:ascii="黑体" w:hAnsi="黑体" w:eastAsia="黑体"/>
          <w:b w:val="0"/>
          <w:szCs w:val="24"/>
        </w:rPr>
      </w:pPr>
      <w:bookmarkStart w:id="38" w:name="_Toc25885"/>
      <w:bookmarkStart w:id="39" w:name="_Toc31284"/>
      <w:r>
        <w:rPr>
          <w:rFonts w:hint="eastAsia" w:ascii="黑体" w:hAnsi="黑体" w:eastAsia="黑体"/>
          <w:b w:val="0"/>
          <w:szCs w:val="24"/>
        </w:rPr>
        <w:t>5.</w:t>
      </w:r>
      <w:r>
        <w:rPr>
          <w:rFonts w:hint="eastAsia" w:ascii="黑体" w:hAnsi="黑体" w:eastAsia="黑体"/>
          <w:b w:val="0"/>
          <w:szCs w:val="24"/>
          <w:lang w:val="en-US" w:eastAsia="zh-CN"/>
        </w:rPr>
        <w:t>2</w:t>
      </w:r>
      <w:r>
        <w:rPr>
          <w:rFonts w:hint="eastAsia" w:ascii="黑体" w:hAnsi="黑体" w:eastAsia="黑体"/>
          <w:b w:val="0"/>
          <w:szCs w:val="24"/>
        </w:rPr>
        <w:t xml:space="preserve">  国内电磁辐射环境自动站建设</w:t>
      </w:r>
      <w:bookmarkEnd w:id="38"/>
      <w:bookmarkEnd w:id="39"/>
    </w:p>
    <w:p>
      <w:pPr>
        <w:spacing w:line="360" w:lineRule="auto"/>
        <w:rPr>
          <w:rFonts w:ascii="黑体" w:hAnsi="黑体" w:eastAsia="黑体"/>
        </w:rPr>
      </w:pPr>
      <w:r>
        <w:rPr>
          <w:rFonts w:hint="eastAsia" w:ascii="黑体" w:hAnsi="黑体" w:eastAsia="黑体"/>
        </w:rPr>
        <w:t>5.</w:t>
      </w:r>
      <w:r>
        <w:rPr>
          <w:rFonts w:hint="eastAsia" w:ascii="黑体" w:hAnsi="黑体" w:eastAsia="黑体"/>
          <w:lang w:val="en-US" w:eastAsia="zh-CN"/>
        </w:rPr>
        <w:t>2</w:t>
      </w:r>
      <w:r>
        <w:rPr>
          <w:rFonts w:hint="eastAsia" w:ascii="黑体" w:hAnsi="黑体" w:eastAsia="黑体"/>
        </w:rPr>
        <w:t xml:space="preserve">.1  </w:t>
      </w:r>
      <w:r>
        <w:rPr>
          <w:rFonts w:hint="eastAsia" w:ascii="黑体" w:hAnsi="黑体" w:eastAsia="黑体"/>
          <w:lang w:eastAsia="zh-CN"/>
        </w:rPr>
        <w:t>我</w:t>
      </w:r>
      <w:r>
        <w:rPr>
          <w:rFonts w:hint="eastAsia" w:ascii="黑体" w:hAnsi="黑体" w:eastAsia="黑体"/>
        </w:rPr>
        <w:t>省电磁辐射环境自动站建设</w:t>
      </w:r>
    </w:p>
    <w:p>
      <w:pPr>
        <w:spacing w:line="360" w:lineRule="auto"/>
        <w:ind w:firstLine="420" w:firstLineChars="200"/>
        <w:rPr>
          <w:rFonts w:hint="eastAsia" w:ascii="Times New Roman" w:hAnsi="Times New Roman" w:eastAsia="宋体" w:cs="Times New Roman"/>
          <w:szCs w:val="21"/>
        </w:rPr>
      </w:pPr>
      <w:r>
        <w:rPr>
          <w:rFonts w:hint="eastAsia" w:ascii="Times New Roman" w:hAnsi="Times New Roman" w:eastAsia="宋体" w:cs="Times New Roman"/>
          <w:szCs w:val="21"/>
        </w:rPr>
        <w:t>我省至今未建有完善的省级电磁辐射环境自动监测网络，对电力设施、通信基站等主要电磁辐射</w:t>
      </w:r>
      <w:r>
        <w:rPr>
          <w:rFonts w:hint="eastAsia" w:ascii="Times New Roman" w:hAnsi="Times New Roman" w:eastAsia="宋体" w:cs="Times New Roman"/>
          <w:szCs w:val="21"/>
          <w:lang w:val="en-US" w:eastAsia="zh-CN"/>
        </w:rPr>
        <w:t>设施</w:t>
      </w:r>
      <w:r>
        <w:rPr>
          <w:rFonts w:hint="eastAsia" w:ascii="Times New Roman" w:hAnsi="Times New Roman" w:eastAsia="宋体" w:cs="Times New Roman"/>
          <w:szCs w:val="21"/>
        </w:rPr>
        <w:t>也无长期、连续的监测手段及数据。部分单位和地市已开展了试点工作，</w:t>
      </w:r>
      <w:r>
        <w:rPr>
          <w:rFonts w:hint="eastAsia" w:ascii="Times New Roman" w:hAnsi="Times New Roman" w:eastAsia="宋体" w:cs="Times New Roman"/>
          <w:szCs w:val="21"/>
          <w:lang w:eastAsia="zh-CN"/>
        </w:rPr>
        <w:t>广东省环境辐射监测与核应急响应技术支持中心</w:t>
      </w:r>
      <w:r>
        <w:rPr>
          <w:rFonts w:hint="eastAsia" w:ascii="Times New Roman" w:hAnsi="Times New Roman" w:eastAsia="宋体" w:cs="Times New Roman"/>
          <w:szCs w:val="21"/>
        </w:rPr>
        <w:t>建</w:t>
      </w:r>
      <w:r>
        <w:rPr>
          <w:rFonts w:hint="eastAsia" w:ascii="Times New Roman" w:hAnsi="Times New Roman" w:eastAsia="宋体" w:cs="Times New Roman"/>
          <w:szCs w:val="21"/>
          <w:lang w:val="en-US" w:eastAsia="zh-CN"/>
        </w:rPr>
        <w:t>成</w:t>
      </w:r>
      <w:r>
        <w:rPr>
          <w:rFonts w:hint="eastAsia" w:ascii="Times New Roman" w:hAnsi="Times New Roman" w:eastAsia="宋体" w:cs="Times New Roman"/>
          <w:szCs w:val="21"/>
        </w:rPr>
        <w:t>1个；广东省佛山生态环境监测站建</w:t>
      </w:r>
      <w:r>
        <w:rPr>
          <w:rFonts w:hint="eastAsia" w:ascii="Times New Roman" w:hAnsi="Times New Roman" w:eastAsia="宋体" w:cs="Times New Roman"/>
          <w:szCs w:val="21"/>
          <w:lang w:val="en-US" w:eastAsia="zh-CN"/>
        </w:rPr>
        <w:t>成</w:t>
      </w:r>
      <w:r>
        <w:rPr>
          <w:rFonts w:hint="eastAsia" w:ascii="Times New Roman" w:hAnsi="Times New Roman" w:eastAsia="宋体" w:cs="Times New Roman"/>
          <w:szCs w:val="21"/>
        </w:rPr>
        <w:t>1个；深圳市生态环境局建</w:t>
      </w:r>
      <w:r>
        <w:rPr>
          <w:rFonts w:hint="eastAsia" w:ascii="Times New Roman" w:hAnsi="Times New Roman" w:eastAsia="宋体" w:cs="Times New Roman"/>
          <w:szCs w:val="21"/>
          <w:lang w:val="en-US" w:eastAsia="zh-CN"/>
        </w:rPr>
        <w:t>成</w:t>
      </w:r>
      <w:r>
        <w:rPr>
          <w:rFonts w:hint="eastAsia" w:ascii="Times New Roman" w:hAnsi="Times New Roman" w:eastAsia="宋体" w:cs="Times New Roman"/>
          <w:szCs w:val="21"/>
        </w:rPr>
        <w:t>19个，包括12个覆盖深圳市全行政区域的环境质量站点，7个针对变电站、广播电视、中波台、基站、雷达等电磁辐射设施设备建设的站点。</w:t>
      </w:r>
    </w:p>
    <w:p>
      <w:pPr>
        <w:spacing w:line="360" w:lineRule="auto"/>
        <w:ind w:firstLine="420" w:firstLineChars="200"/>
        <w:rPr>
          <w:rFonts w:hint="eastAsia" w:ascii="Times New Roman" w:hAnsi="Times New Roman" w:eastAsia="宋体" w:cs="Times New Roman"/>
          <w:szCs w:val="21"/>
        </w:rPr>
      </w:pPr>
      <w:r>
        <w:rPr>
          <w:rFonts w:hint="eastAsia" w:ascii="Times New Roman" w:hAnsi="Times New Roman" w:eastAsia="宋体" w:cs="Times New Roman"/>
          <w:szCs w:val="21"/>
        </w:rPr>
        <w:t>为了客观回应公众对变电站电磁环境影响的误解与担忧，</w:t>
      </w:r>
      <w:r>
        <w:rPr>
          <w:rFonts w:hint="eastAsia" w:ascii="Times New Roman" w:hAnsi="Times New Roman" w:eastAsia="宋体" w:cs="Times New Roman"/>
          <w:szCs w:val="21"/>
          <w:lang w:val="en-US" w:eastAsia="zh-CN"/>
        </w:rPr>
        <w:t>深圳、广州等地市陆续开展了</w:t>
      </w:r>
      <w:r>
        <w:rPr>
          <w:rFonts w:hint="eastAsia" w:ascii="Times New Roman" w:hAnsi="Times New Roman" w:eastAsia="宋体" w:cs="Times New Roman"/>
          <w:szCs w:val="21"/>
        </w:rPr>
        <w:t>变电站</w:t>
      </w:r>
      <w:r>
        <w:rPr>
          <w:rFonts w:hint="eastAsia" w:ascii="Times New Roman" w:hAnsi="Times New Roman" w:eastAsia="宋体" w:cs="Times New Roman"/>
          <w:szCs w:val="21"/>
          <w:lang w:val="en-US" w:eastAsia="zh-CN"/>
        </w:rPr>
        <w:t>等电磁辐射设施的</w:t>
      </w:r>
      <w:r>
        <w:rPr>
          <w:rFonts w:hint="eastAsia" w:ascii="Times New Roman" w:hAnsi="Times New Roman" w:eastAsia="宋体" w:cs="Times New Roman"/>
          <w:szCs w:val="21"/>
        </w:rPr>
        <w:t>在线监测系统，保障了公众对</w:t>
      </w:r>
      <w:r>
        <w:rPr>
          <w:rFonts w:hint="eastAsia" w:ascii="Times New Roman" w:hAnsi="Times New Roman" w:eastAsia="宋体" w:cs="Times New Roman"/>
          <w:szCs w:val="21"/>
          <w:lang w:val="en-US" w:eastAsia="zh-CN"/>
        </w:rPr>
        <w:t>电磁辐射设施</w:t>
      </w:r>
      <w:r>
        <w:rPr>
          <w:rFonts w:hint="eastAsia" w:ascii="Times New Roman" w:hAnsi="Times New Roman" w:eastAsia="宋体" w:cs="Times New Roman"/>
          <w:szCs w:val="21"/>
        </w:rPr>
        <w:t>周边环境信息的知情权、参与权</w:t>
      </w:r>
      <w:r>
        <w:rPr>
          <w:rFonts w:hint="eastAsia" w:ascii="Times New Roman" w:hAnsi="Times New Roman" w:eastAsia="宋体" w:cs="Times New Roman"/>
          <w:szCs w:val="21"/>
          <w:lang w:val="en-US" w:eastAsia="zh-CN"/>
        </w:rPr>
        <w:t>和</w:t>
      </w:r>
      <w:r>
        <w:rPr>
          <w:rFonts w:hint="eastAsia" w:ascii="Times New Roman" w:hAnsi="Times New Roman" w:eastAsia="宋体" w:cs="Times New Roman"/>
          <w:szCs w:val="21"/>
        </w:rPr>
        <w:t>监督权。2014</w:t>
      </w:r>
      <w:r>
        <w:rPr>
          <w:rFonts w:hint="eastAsia" w:ascii="Times New Roman" w:hAnsi="Times New Roman" w:eastAsia="宋体" w:cs="Times New Roman"/>
          <w:szCs w:val="21"/>
          <w:lang w:val="en-US" w:eastAsia="zh-CN"/>
        </w:rPr>
        <w:t>年</w:t>
      </w:r>
      <w:r>
        <w:rPr>
          <w:rFonts w:hint="eastAsia" w:ascii="Times New Roman" w:hAnsi="Times New Roman" w:eastAsia="宋体" w:cs="Times New Roman"/>
          <w:szCs w:val="21"/>
        </w:rPr>
        <w:t>12</w:t>
      </w:r>
      <w:r>
        <w:rPr>
          <w:rFonts w:hint="eastAsia" w:ascii="Times New Roman" w:hAnsi="Times New Roman" w:eastAsia="宋体" w:cs="Times New Roman"/>
          <w:szCs w:val="21"/>
          <w:lang w:val="en-US" w:eastAsia="zh-CN"/>
        </w:rPr>
        <w:t>月</w:t>
      </w:r>
      <w:r>
        <w:rPr>
          <w:rFonts w:hint="eastAsia" w:ascii="Times New Roman" w:hAnsi="Times New Roman" w:eastAsia="宋体" w:cs="Times New Roman"/>
          <w:szCs w:val="21"/>
        </w:rPr>
        <w:t>深圳发布全国首个变电站电磁环境在线监测系统</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公众</w:t>
      </w:r>
      <w:r>
        <w:rPr>
          <w:rFonts w:hint="eastAsia" w:ascii="Times New Roman" w:hAnsi="Times New Roman" w:eastAsia="宋体" w:cs="Times New Roman"/>
          <w:szCs w:val="21"/>
        </w:rPr>
        <w:t>可在深圳供电局官方网站</w:t>
      </w:r>
      <w:r>
        <w:rPr>
          <w:rFonts w:hint="eastAsia" w:ascii="Times New Roman" w:hAnsi="Times New Roman" w:eastAsia="宋体" w:cs="Times New Roman"/>
          <w:szCs w:val="21"/>
          <w:lang w:val="en-US" w:eastAsia="zh-CN"/>
        </w:rPr>
        <w:t>/官方微信等</w:t>
      </w:r>
      <w:r>
        <w:rPr>
          <w:rFonts w:hint="eastAsia" w:ascii="Times New Roman" w:hAnsi="Times New Roman" w:eastAsia="宋体" w:cs="Times New Roman"/>
          <w:szCs w:val="21"/>
        </w:rPr>
        <w:t>实时查询变电站电磁场强度</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让变电站的电磁场水平更加公开透明。</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cs="Times New Roman"/>
          <w:szCs w:val="21"/>
        </w:rPr>
      </w:pPr>
      <w:r>
        <w:rPr>
          <w:rFonts w:ascii="宋体" w:hAnsi="宋体" w:eastAsia="宋体" w:cs="宋体"/>
          <w:sz w:val="24"/>
          <w:szCs w:val="24"/>
        </w:rPr>
        <w:drawing>
          <wp:inline distT="0" distB="0" distL="114300" distR="114300">
            <wp:extent cx="5027930" cy="298640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9"/>
                    <a:srcRect t="20812"/>
                    <a:stretch>
                      <a:fillRect/>
                    </a:stretch>
                  </pic:blipFill>
                  <pic:spPr>
                    <a:xfrm>
                      <a:off x="0" y="0"/>
                      <a:ext cx="5027930" cy="2986405"/>
                    </a:xfrm>
                    <a:prstGeom prst="rect">
                      <a:avLst/>
                    </a:prstGeom>
                    <a:noFill/>
                    <a:ln w="9525">
                      <a:noFill/>
                    </a:ln>
                  </pic:spPr>
                </pic:pic>
              </a:graphicData>
            </a:graphic>
          </wp:inline>
        </w:drawing>
      </w:r>
    </w:p>
    <w:p>
      <w:pPr>
        <w:spacing w:line="360" w:lineRule="auto"/>
        <w:ind w:firstLine="420" w:firstLineChars="200"/>
        <w:jc w:val="center"/>
        <w:rPr>
          <w:rFonts w:ascii="Times New Roman" w:hAnsi="Times New Roman" w:eastAsia="宋体" w:cs="Times New Roman"/>
          <w:szCs w:val="21"/>
        </w:rPr>
      </w:pPr>
      <w:r>
        <w:rPr>
          <w:rFonts w:ascii="Times New Roman" w:hAnsi="Times New Roman" w:eastAsia="宋体" w:cs="Times New Roman"/>
          <w:szCs w:val="21"/>
        </w:rPr>
        <w:t xml:space="preserve">图5-3 </w:t>
      </w:r>
      <w:r>
        <w:rPr>
          <w:rFonts w:hint="eastAsia" w:ascii="Times New Roman" w:hAnsi="Times New Roman" w:eastAsia="宋体" w:cs="Times New Roman"/>
          <w:szCs w:val="21"/>
        </w:rPr>
        <w:t>全国首个变电站电磁环境在线监测系统</w:t>
      </w:r>
    </w:p>
    <w:p>
      <w:pPr>
        <w:widowControl/>
        <w:spacing w:line="360" w:lineRule="auto"/>
        <w:ind w:firstLine="482"/>
        <w:jc w:val="center"/>
        <w:rPr>
          <w:rFonts w:ascii="Times New Roman" w:hAnsi="Times New Roman" w:eastAsia="宋体" w:cs="Times New Roman"/>
          <w:szCs w:val="21"/>
        </w:rPr>
      </w:pPr>
      <w:r>
        <w:rPr>
          <w:rFonts w:ascii="Times New Roman" w:hAnsi="Times New Roman" w:eastAsia="宋体" w:cs="Times New Roman"/>
          <w:szCs w:val="21"/>
        </w:rPr>
        <w:t>表5-</w:t>
      </w:r>
      <w:r>
        <w:rPr>
          <w:rFonts w:hint="eastAsia" w:ascii="Times New Roman" w:hAnsi="Times New Roman" w:eastAsia="宋体" w:cs="Times New Roman"/>
          <w:szCs w:val="21"/>
          <w:lang w:val="en-US" w:eastAsia="zh-CN"/>
        </w:rPr>
        <w:t>3</w:t>
      </w:r>
      <w:r>
        <w:rPr>
          <w:rFonts w:ascii="Times New Roman" w:hAnsi="Times New Roman" w:eastAsia="宋体" w:cs="Times New Roman"/>
          <w:szCs w:val="21"/>
        </w:rPr>
        <w:t xml:space="preserve"> </w:t>
      </w:r>
      <w:r>
        <w:rPr>
          <w:rFonts w:hint="eastAsia" w:ascii="Times New Roman" w:hAnsi="Times New Roman" w:eastAsia="宋体" w:cs="Times New Roman"/>
          <w:szCs w:val="21"/>
          <w:lang w:eastAsia="zh-CN"/>
        </w:rPr>
        <w:t>我</w:t>
      </w:r>
      <w:r>
        <w:rPr>
          <w:rFonts w:ascii="Times New Roman" w:hAnsi="Times New Roman" w:eastAsia="宋体" w:cs="Times New Roman"/>
          <w:szCs w:val="21"/>
        </w:rPr>
        <w:t>省</w:t>
      </w:r>
      <w:r>
        <w:rPr>
          <w:rFonts w:hint="eastAsia" w:ascii="Times New Roman" w:hAnsi="Times New Roman" w:eastAsia="宋体" w:cs="Times New Roman"/>
          <w:szCs w:val="21"/>
          <w:lang w:val="en-US" w:eastAsia="zh-CN"/>
        </w:rPr>
        <w:t>部分</w:t>
      </w:r>
      <w:r>
        <w:rPr>
          <w:rFonts w:ascii="Times New Roman" w:hAnsi="Times New Roman" w:eastAsia="宋体" w:cs="Times New Roman"/>
          <w:szCs w:val="21"/>
        </w:rPr>
        <w:t>电磁辐射环境自动监测系统</w:t>
      </w:r>
      <w:r>
        <w:rPr>
          <w:rFonts w:hint="eastAsia" w:ascii="Times New Roman" w:hAnsi="Times New Roman" w:eastAsia="宋体" w:cs="Times New Roman"/>
          <w:szCs w:val="21"/>
          <w:lang w:val="en-US" w:eastAsia="zh-CN"/>
        </w:rPr>
        <w:t>建设</w:t>
      </w:r>
      <w:r>
        <w:rPr>
          <w:rFonts w:ascii="Times New Roman" w:hAnsi="Times New Roman" w:eastAsia="宋体" w:cs="Times New Roman"/>
          <w:szCs w:val="21"/>
        </w:rPr>
        <w:t>情况</w:t>
      </w:r>
    </w:p>
    <w:tbl>
      <w:tblPr>
        <w:tblStyle w:val="1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2"/>
        <w:gridCol w:w="2953"/>
        <w:gridCol w:w="1691"/>
        <w:gridCol w:w="1481"/>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764" w:type="pct"/>
            <w:vAlign w:val="center"/>
          </w:tcPr>
          <w:p>
            <w:pPr>
              <w:widowControl/>
              <w:spacing w:line="360" w:lineRule="auto"/>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系统名称</w:t>
            </w:r>
          </w:p>
        </w:tc>
        <w:tc>
          <w:tcPr>
            <w:tcW w:w="1732" w:type="pct"/>
            <w:vAlign w:val="center"/>
          </w:tcPr>
          <w:p>
            <w:pPr>
              <w:widowControl/>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地点</w:t>
            </w:r>
          </w:p>
        </w:tc>
        <w:tc>
          <w:tcPr>
            <w:tcW w:w="992" w:type="pct"/>
            <w:vAlign w:val="center"/>
          </w:tcPr>
          <w:p>
            <w:pPr>
              <w:widowControl/>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建设时间</w:t>
            </w:r>
          </w:p>
        </w:tc>
        <w:tc>
          <w:tcPr>
            <w:tcW w:w="869" w:type="pct"/>
            <w:vAlign w:val="center"/>
          </w:tcPr>
          <w:p>
            <w:pPr>
              <w:widowControl/>
              <w:jc w:val="center"/>
              <w:rPr>
                <w:rFonts w:ascii="Times New Roman" w:hAnsi="Times New Roman" w:eastAsia="宋体" w:cs="Times New Roman"/>
                <w:b/>
                <w:bCs/>
                <w:szCs w:val="21"/>
              </w:rPr>
            </w:pPr>
            <w:r>
              <w:rPr>
                <w:rFonts w:hint="eastAsia" w:ascii="Times New Roman" w:hAnsi="Times New Roman" w:eastAsia="宋体" w:cs="Times New Roman"/>
                <w:b/>
                <w:bCs/>
                <w:szCs w:val="21"/>
                <w:lang w:val="en-US" w:eastAsia="zh-CN"/>
              </w:rPr>
              <w:t>电磁</w:t>
            </w:r>
            <w:r>
              <w:rPr>
                <w:rFonts w:ascii="Times New Roman" w:hAnsi="Times New Roman" w:eastAsia="宋体" w:cs="Times New Roman"/>
                <w:b/>
                <w:bCs/>
                <w:szCs w:val="21"/>
              </w:rPr>
              <w:t>环境质量或</w:t>
            </w:r>
          </w:p>
          <w:p>
            <w:pPr>
              <w:widowControl/>
              <w:jc w:val="center"/>
              <w:rPr>
                <w:rFonts w:ascii="Times New Roman" w:hAnsi="Times New Roman" w:eastAsia="宋体" w:cs="Times New Roman"/>
                <w:b/>
                <w:bCs/>
                <w:szCs w:val="21"/>
              </w:rPr>
            </w:pPr>
            <w:r>
              <w:rPr>
                <w:rFonts w:hint="eastAsia" w:ascii="Times New Roman" w:hAnsi="Times New Roman" w:eastAsia="宋体" w:cs="Times New Roman"/>
                <w:b/>
                <w:bCs/>
                <w:szCs w:val="21"/>
                <w:lang w:val="en-US" w:eastAsia="zh-CN"/>
              </w:rPr>
              <w:t>电磁辐射设施</w:t>
            </w:r>
          </w:p>
        </w:tc>
        <w:tc>
          <w:tcPr>
            <w:tcW w:w="640" w:type="pct"/>
            <w:vAlign w:val="center"/>
          </w:tcPr>
          <w:p>
            <w:pPr>
              <w:widowControl/>
              <w:spacing w:line="360" w:lineRule="auto"/>
              <w:jc w:val="center"/>
              <w:rPr>
                <w:rFonts w:ascii="Times New Roman" w:hAnsi="Times New Roman" w:eastAsia="宋体" w:cs="Times New Roman"/>
                <w:b/>
                <w:bCs/>
                <w:szCs w:val="21"/>
              </w:rPr>
            </w:pPr>
            <w:r>
              <w:rPr>
                <w:rFonts w:hint="eastAsia" w:ascii="Times New Roman" w:hAnsi="Times New Roman" w:eastAsia="宋体" w:cs="Times New Roman"/>
                <w:b/>
                <w:bCs/>
                <w:szCs w:val="21"/>
                <w:lang w:val="en-US" w:eastAsia="zh-CN"/>
              </w:rPr>
              <w:t>监测</w:t>
            </w:r>
            <w:r>
              <w:rPr>
                <w:rFonts w:ascii="Times New Roman" w:hAnsi="Times New Roman" w:eastAsia="宋体" w:cs="Times New Roman"/>
                <w:b/>
                <w:bCs/>
                <w:szCs w:val="21"/>
              </w:rPr>
              <w:t>频段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工频连续监测系统</w:t>
            </w: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深圳220kV滨河变电站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2013年11月</w:t>
            </w:r>
          </w:p>
        </w:tc>
        <w:tc>
          <w:tcPr>
            <w:tcW w:w="869" w:type="pct"/>
            <w:vMerge w:val="restart"/>
            <w:vAlign w:val="center"/>
          </w:tcPr>
          <w:p>
            <w:pPr>
              <w:widowControl/>
              <w:spacing w:line="360" w:lineRule="auto"/>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640"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5Hz～400kHz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深圳110kV莲塘变电站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2014年9月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深圳110kV华卉变电站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2015年8月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深圳110kV凯旋变电站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2016年7月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深圳500kV鲲鹏变电站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2016年9月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深圳500kV鹏城变电站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2014年11月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广州220kV天河变电站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2015年6月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东莞110kV园岭变电站</w:t>
            </w:r>
          </w:p>
        </w:tc>
        <w:tc>
          <w:tcPr>
            <w:tcW w:w="992"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2015年10月</w:t>
            </w:r>
          </w:p>
        </w:tc>
        <w:tc>
          <w:tcPr>
            <w:tcW w:w="869" w:type="pct"/>
            <w:vMerge w:val="continue"/>
            <w:vAlign w:val="center"/>
          </w:tcPr>
          <w:p>
            <w:pPr>
              <w:widowControl/>
              <w:spacing w:line="360" w:lineRule="auto"/>
              <w:jc w:val="center"/>
              <w:rPr>
                <w:rFonts w:ascii="Times New Roman" w:hAnsi="Times New Roman" w:eastAsia="宋体" w:cs="Times New Roman"/>
                <w:szCs w:val="21"/>
              </w:rPr>
            </w:pPr>
          </w:p>
        </w:tc>
        <w:tc>
          <w:tcPr>
            <w:tcW w:w="640"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深圳市环境监测中心</w:t>
            </w:r>
          </w:p>
        </w:tc>
        <w:tc>
          <w:tcPr>
            <w:tcW w:w="99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2014年10月</w:t>
            </w:r>
          </w:p>
        </w:tc>
        <w:tc>
          <w:tcPr>
            <w:tcW w:w="869"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电磁环境质量</w:t>
            </w:r>
          </w:p>
        </w:tc>
        <w:tc>
          <w:tcPr>
            <w:tcW w:w="64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100kHz～3GHz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佛山市环境监测中心</w:t>
            </w:r>
          </w:p>
          <w:p>
            <w:pPr>
              <w:widowControl/>
              <w:jc w:val="center"/>
              <w:rPr>
                <w:rFonts w:ascii="Times New Roman" w:hAnsi="Times New Roman" w:eastAsia="宋体" w:cs="Times New Roman"/>
                <w:szCs w:val="21"/>
              </w:rPr>
            </w:pPr>
            <w:r>
              <w:rPr>
                <w:rFonts w:ascii="Times New Roman" w:hAnsi="Times New Roman" w:eastAsia="宋体" w:cs="Times New Roman"/>
                <w:szCs w:val="21"/>
              </w:rPr>
              <w:t>文华公园</w:t>
            </w:r>
          </w:p>
        </w:tc>
        <w:tc>
          <w:tcPr>
            <w:tcW w:w="99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2014年12月</w:t>
            </w:r>
          </w:p>
        </w:tc>
        <w:tc>
          <w:tcPr>
            <w:tcW w:w="869" w:type="pct"/>
            <w:vMerge w:val="continue"/>
            <w:vAlign w:val="center"/>
          </w:tcPr>
          <w:p>
            <w:pPr>
              <w:jc w:val="center"/>
              <w:rPr>
                <w:rFonts w:ascii="Times New Roman" w:hAnsi="Times New Roman" w:eastAsia="宋体" w:cs="Times New Roman"/>
                <w:szCs w:val="21"/>
              </w:rPr>
            </w:pPr>
          </w:p>
        </w:tc>
        <w:tc>
          <w:tcPr>
            <w:tcW w:w="640"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vAlign w:val="center"/>
          </w:tcPr>
          <w:p>
            <w:pPr>
              <w:widowControl/>
              <w:jc w:val="center"/>
              <w:rPr>
                <w:rFonts w:ascii="Times New Roman" w:hAnsi="Times New Roman" w:eastAsia="宋体" w:cs="Times New Roman"/>
                <w:szCs w:val="21"/>
              </w:rPr>
            </w:pPr>
          </w:p>
        </w:tc>
        <w:tc>
          <w:tcPr>
            <w:tcW w:w="1732" w:type="pct"/>
            <w:vAlign w:val="center"/>
          </w:tcPr>
          <w:p>
            <w:pPr>
              <w:widowControl/>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省</w:t>
            </w:r>
            <w:r>
              <w:rPr>
                <w:rFonts w:ascii="Times New Roman" w:hAnsi="Times New Roman" w:eastAsia="宋体" w:cs="Times New Roman"/>
                <w:szCs w:val="21"/>
              </w:rPr>
              <w:t>辐射中心</w:t>
            </w:r>
          </w:p>
        </w:tc>
        <w:tc>
          <w:tcPr>
            <w:tcW w:w="99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2017年7月</w:t>
            </w:r>
          </w:p>
        </w:tc>
        <w:tc>
          <w:tcPr>
            <w:tcW w:w="869" w:type="pct"/>
            <w:vMerge w:val="continue"/>
            <w:vAlign w:val="center"/>
          </w:tcPr>
          <w:p>
            <w:pPr>
              <w:jc w:val="center"/>
              <w:rPr>
                <w:rFonts w:ascii="Times New Roman" w:hAnsi="Times New Roman" w:eastAsia="宋体" w:cs="Times New Roman"/>
                <w:szCs w:val="21"/>
              </w:rPr>
            </w:pPr>
          </w:p>
        </w:tc>
        <w:tc>
          <w:tcPr>
            <w:tcW w:w="640" w:type="pct"/>
            <w:vMerge w:val="continue"/>
            <w:vAlign w:val="center"/>
          </w:tcPr>
          <w:p>
            <w:pPr>
              <w:jc w:val="center"/>
              <w:rPr>
                <w:rFonts w:ascii="Times New Roman" w:hAnsi="Times New Roman" w:eastAsia="宋体" w:cs="Times New Roman"/>
                <w:szCs w:val="21"/>
              </w:rPr>
            </w:pPr>
          </w:p>
        </w:tc>
      </w:tr>
    </w:tbl>
    <w:p>
      <w:pPr>
        <w:spacing w:line="360" w:lineRule="auto"/>
        <w:rPr>
          <w:rFonts w:hint="eastAsia" w:ascii="黑体" w:hAnsi="黑体" w:eastAsia="黑体"/>
        </w:rPr>
      </w:pPr>
    </w:p>
    <w:p>
      <w:pPr>
        <w:spacing w:line="360" w:lineRule="auto"/>
        <w:rPr>
          <w:rFonts w:ascii="黑体" w:hAnsi="黑体" w:eastAsia="黑体"/>
        </w:rPr>
      </w:pPr>
      <w:r>
        <w:rPr>
          <w:rFonts w:hint="eastAsia" w:ascii="黑体" w:hAnsi="黑体" w:eastAsia="黑体"/>
        </w:rPr>
        <w:t>5.</w:t>
      </w:r>
      <w:r>
        <w:rPr>
          <w:rFonts w:hint="eastAsia" w:ascii="黑体" w:hAnsi="黑体" w:eastAsia="黑体"/>
          <w:lang w:val="en-US" w:eastAsia="zh-CN"/>
        </w:rPr>
        <w:t>2</w:t>
      </w:r>
      <w:r>
        <w:rPr>
          <w:rFonts w:hint="eastAsia" w:ascii="黑体" w:hAnsi="黑体" w:eastAsia="黑体"/>
        </w:rPr>
        <w:t>.2  国内其他城市电磁辐射环境自动站建设</w:t>
      </w:r>
    </w:p>
    <w:p>
      <w:pPr>
        <w:widowControl/>
        <w:spacing w:line="360" w:lineRule="auto"/>
        <w:ind w:firstLine="420" w:firstLineChars="200"/>
        <w:rPr>
          <w:rFonts w:ascii="Times New Roman" w:hAnsi="Times New Roman" w:eastAsia="宋体" w:cs="Times New Roman"/>
        </w:rPr>
      </w:pPr>
      <w:r>
        <w:rPr>
          <w:rFonts w:ascii="Times New Roman" w:hAnsi="Times New Roman" w:eastAsia="宋体" w:cs="Times New Roman"/>
        </w:rPr>
        <w:t>我国电磁环境在线监测系统的建设始于2005年，北京市购置了第一套自动监测设备，用于处理信访和环境质量跟踪监测。2009年，河南省建设了电磁辐射环境在线监测系统，形成在线监测网络。随后各省开始陆续建设电磁环境在线监测系统，截至目前，全国已建成运行及建设中的</w:t>
      </w:r>
      <w:r>
        <w:rPr>
          <w:rFonts w:ascii="Times New Roman" w:hAnsi="Times New Roman" w:eastAsia="宋体" w:cs="Times New Roman"/>
          <w:szCs w:val="21"/>
        </w:rPr>
        <w:t>电磁辐射环境自动监测</w:t>
      </w:r>
      <w:r>
        <w:rPr>
          <w:rFonts w:ascii="Times New Roman" w:hAnsi="Times New Roman" w:eastAsia="宋体" w:cs="Times New Roman"/>
        </w:rPr>
        <w:t>系统约</w:t>
      </w:r>
      <w:r>
        <w:rPr>
          <w:rFonts w:hint="eastAsia" w:ascii="Times New Roman" w:hAnsi="Times New Roman" w:eastAsia="宋体" w:cs="Times New Roman"/>
          <w:lang w:val="en-US" w:eastAsia="zh-CN"/>
        </w:rPr>
        <w:t>30</w:t>
      </w:r>
      <w:r>
        <w:rPr>
          <w:rFonts w:ascii="Times New Roman" w:hAnsi="Times New Roman" w:eastAsia="宋体" w:cs="Times New Roman"/>
        </w:rPr>
        <w:t>0套。其中四川、河南、北京、陕西已建设或在建全省的</w:t>
      </w:r>
      <w:r>
        <w:rPr>
          <w:rFonts w:ascii="Times New Roman" w:hAnsi="Times New Roman" w:eastAsia="宋体" w:cs="Times New Roman"/>
          <w:szCs w:val="21"/>
        </w:rPr>
        <w:t>电磁辐射环境自动监测</w:t>
      </w:r>
      <w:r>
        <w:rPr>
          <w:rFonts w:ascii="Times New Roman" w:hAnsi="Times New Roman" w:eastAsia="宋体" w:cs="Times New Roman"/>
        </w:rPr>
        <w:t>系统网络，但尚未建立全国性电磁辐射环境自动监测技术性规范。</w:t>
      </w:r>
    </w:p>
    <w:p>
      <w:pPr>
        <w:widowControl/>
        <w:spacing w:line="360" w:lineRule="auto"/>
        <w:ind w:firstLine="482"/>
        <w:rPr>
          <w:rFonts w:ascii="Times New Roman" w:hAnsi="Times New Roman" w:eastAsia="宋体" w:cs="Times New Roman"/>
          <w:szCs w:val="21"/>
        </w:rPr>
      </w:pPr>
      <w:r>
        <w:rPr>
          <w:rFonts w:ascii="Times New Roman" w:hAnsi="Times New Roman" w:eastAsia="宋体" w:cs="Times New Roman"/>
          <w:szCs w:val="21"/>
        </w:rPr>
        <w:t>调研还收集了北京、</w:t>
      </w:r>
      <w:r>
        <w:rPr>
          <w:rFonts w:hint="eastAsia" w:ascii="Times New Roman" w:hAnsi="Times New Roman" w:eastAsia="宋体" w:cs="Times New Roman"/>
          <w:szCs w:val="21"/>
          <w:lang w:val="en-US" w:eastAsia="zh-CN"/>
        </w:rPr>
        <w:t>浙江</w:t>
      </w:r>
      <w:r>
        <w:rPr>
          <w:rFonts w:ascii="Times New Roman" w:hAnsi="Times New Roman" w:eastAsia="宋体" w:cs="Times New Roman"/>
          <w:szCs w:val="21"/>
        </w:rPr>
        <w:t>、上海、陕西、四川、湖北、河南、黑龙江等8省市省级生态环境监测站的电磁辐射环境自动监测系统的安装运行情况，统计共安装有80套固定点监测系统，具体见</w:t>
      </w:r>
      <w:r>
        <w:rPr>
          <w:rFonts w:hint="eastAsia" w:ascii="Times New Roman" w:hAnsi="Times New Roman" w:eastAsia="宋体" w:cs="Times New Roman"/>
          <w:szCs w:val="21"/>
          <w:lang w:val="en-US" w:eastAsia="zh-CN"/>
        </w:rPr>
        <w:t>表5-4</w:t>
      </w:r>
      <w:r>
        <w:rPr>
          <w:rFonts w:ascii="Times New Roman" w:hAnsi="Times New Roman" w:eastAsia="宋体" w:cs="Times New Roman"/>
          <w:szCs w:val="21"/>
        </w:rPr>
        <w:t>。</w:t>
      </w:r>
    </w:p>
    <w:p>
      <w:pPr>
        <w:widowControl/>
        <w:spacing w:line="360" w:lineRule="auto"/>
        <w:ind w:firstLine="482"/>
        <w:jc w:val="center"/>
        <w:rPr>
          <w:rFonts w:ascii="Times New Roman" w:hAnsi="Times New Roman" w:eastAsia="宋体" w:cs="Times New Roman"/>
          <w:szCs w:val="21"/>
        </w:rPr>
      </w:pPr>
      <w:r>
        <w:rPr>
          <w:rFonts w:ascii="Times New Roman" w:hAnsi="Times New Roman" w:eastAsia="宋体" w:cs="Times New Roman"/>
          <w:szCs w:val="21"/>
        </w:rPr>
        <w:t>表5-4 各省市电磁辐射环境自动监测系统安装运行情况</w:t>
      </w:r>
    </w:p>
    <w:tbl>
      <w:tblPr>
        <w:tblStyle w:val="1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2246"/>
        <w:gridCol w:w="1670"/>
        <w:gridCol w:w="1513"/>
        <w:gridCol w:w="1368"/>
        <w:gridCol w:w="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89" w:type="pct"/>
            <w:vAlign w:val="center"/>
          </w:tcPr>
          <w:p>
            <w:pPr>
              <w:widowControl/>
              <w:spacing w:line="360" w:lineRule="auto"/>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系统类别</w:t>
            </w:r>
          </w:p>
        </w:tc>
        <w:tc>
          <w:tcPr>
            <w:tcW w:w="1318" w:type="pct"/>
            <w:vAlign w:val="center"/>
          </w:tcPr>
          <w:p>
            <w:pPr>
              <w:widowControl/>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地点</w:t>
            </w:r>
          </w:p>
        </w:tc>
        <w:tc>
          <w:tcPr>
            <w:tcW w:w="980" w:type="pct"/>
            <w:vAlign w:val="center"/>
          </w:tcPr>
          <w:p>
            <w:pPr>
              <w:widowControl/>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建设时间</w:t>
            </w:r>
          </w:p>
        </w:tc>
        <w:tc>
          <w:tcPr>
            <w:tcW w:w="888" w:type="pct"/>
            <w:vAlign w:val="center"/>
          </w:tcPr>
          <w:p>
            <w:pPr>
              <w:widowControl/>
              <w:jc w:val="center"/>
              <w:rPr>
                <w:rFonts w:ascii="Times New Roman" w:hAnsi="Times New Roman" w:eastAsia="宋体" w:cs="Times New Roman"/>
                <w:b/>
                <w:bCs/>
                <w:szCs w:val="21"/>
              </w:rPr>
            </w:pPr>
            <w:r>
              <w:rPr>
                <w:rFonts w:hint="eastAsia" w:ascii="Times New Roman" w:hAnsi="Times New Roman" w:eastAsia="宋体" w:cs="Times New Roman"/>
                <w:b/>
                <w:bCs/>
                <w:szCs w:val="21"/>
                <w:lang w:eastAsia="zh-CN"/>
              </w:rPr>
              <w:t>电磁环境质量</w:t>
            </w:r>
            <w:r>
              <w:rPr>
                <w:rFonts w:ascii="Times New Roman" w:hAnsi="Times New Roman" w:eastAsia="宋体" w:cs="Times New Roman"/>
                <w:b/>
                <w:bCs/>
                <w:szCs w:val="21"/>
              </w:rPr>
              <w:t>或</w:t>
            </w:r>
          </w:p>
          <w:p>
            <w:pPr>
              <w:widowControl/>
              <w:jc w:val="center"/>
              <w:rPr>
                <w:rFonts w:hint="eastAsia" w:ascii="Times New Roman" w:hAnsi="Times New Roman" w:eastAsia="宋体" w:cs="Times New Roman"/>
                <w:b/>
                <w:bCs/>
                <w:szCs w:val="21"/>
                <w:lang w:eastAsia="zh-CN"/>
              </w:rPr>
            </w:pPr>
            <w:r>
              <w:rPr>
                <w:rFonts w:hint="eastAsia" w:ascii="Times New Roman" w:hAnsi="Times New Roman" w:eastAsia="宋体" w:cs="Times New Roman"/>
                <w:b/>
                <w:bCs/>
                <w:szCs w:val="21"/>
                <w:lang w:eastAsia="zh-CN"/>
              </w:rPr>
              <w:t>电磁辐射设施</w:t>
            </w:r>
          </w:p>
        </w:tc>
        <w:tc>
          <w:tcPr>
            <w:tcW w:w="802" w:type="pct"/>
            <w:vAlign w:val="center"/>
          </w:tcPr>
          <w:p>
            <w:pPr>
              <w:widowControl/>
              <w:spacing w:line="360" w:lineRule="auto"/>
              <w:jc w:val="center"/>
              <w:rPr>
                <w:rFonts w:ascii="Times New Roman" w:hAnsi="Times New Roman" w:eastAsia="宋体" w:cs="Times New Roman"/>
                <w:b/>
                <w:bCs/>
                <w:szCs w:val="21"/>
              </w:rPr>
            </w:pPr>
            <w:r>
              <w:rPr>
                <w:rFonts w:hint="eastAsia" w:ascii="Times New Roman" w:hAnsi="Times New Roman" w:eastAsia="宋体" w:cs="Times New Roman"/>
                <w:b/>
                <w:bCs/>
                <w:szCs w:val="21"/>
                <w:lang w:val="en-US" w:eastAsia="zh-CN"/>
              </w:rPr>
              <w:t>监测</w:t>
            </w:r>
            <w:r>
              <w:rPr>
                <w:rFonts w:ascii="Times New Roman" w:hAnsi="Times New Roman" w:eastAsia="宋体" w:cs="Times New Roman"/>
                <w:b/>
                <w:bCs/>
                <w:szCs w:val="21"/>
              </w:rPr>
              <w:t>频段</w:t>
            </w:r>
          </w:p>
        </w:tc>
        <w:tc>
          <w:tcPr>
            <w:tcW w:w="521" w:type="pct"/>
            <w:vAlign w:val="center"/>
          </w:tcPr>
          <w:p>
            <w:pPr>
              <w:widowControl/>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生产商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5000" w:type="pct"/>
            <w:gridSpan w:val="6"/>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北京市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工频连续监测系统</w:t>
            </w: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京石高铁</w:t>
            </w:r>
          </w:p>
        </w:tc>
        <w:tc>
          <w:tcPr>
            <w:tcW w:w="980"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2013年12月</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10Hz～5kHz</w:t>
            </w: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489" w:type="pct"/>
            <w:vMerge w:val="continue"/>
            <w:vAlign w:val="center"/>
          </w:tcPr>
          <w:p>
            <w:pPr>
              <w:widowControl/>
              <w:jc w:val="center"/>
              <w:rPr>
                <w:rFonts w:ascii="Times New Roman" w:hAnsi="Times New Roman" w:eastAsia="宋体" w:cs="Times New Roman"/>
                <w:szCs w:val="21"/>
              </w:rPr>
            </w:pPr>
          </w:p>
        </w:tc>
        <w:tc>
          <w:tcPr>
            <w:tcW w:w="1318" w:type="pct"/>
            <w:tcBorders>
              <w:bottom w:val="single" w:color="auto" w:sz="4" w:space="0"/>
            </w:tcBorders>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望京变电站东</w:t>
            </w:r>
          </w:p>
        </w:tc>
        <w:tc>
          <w:tcPr>
            <w:tcW w:w="980" w:type="pct"/>
            <w:vMerge w:val="restar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2011年11月</w:t>
            </w: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489" w:type="pct"/>
            <w:vMerge w:val="continue"/>
            <w:vAlign w:val="center"/>
          </w:tcPr>
          <w:p>
            <w:pPr>
              <w:widowControl/>
              <w:jc w:val="center"/>
              <w:rPr>
                <w:rFonts w:ascii="Times New Roman" w:hAnsi="Times New Roman" w:eastAsia="宋体" w:cs="Times New Roman"/>
                <w:szCs w:val="21"/>
              </w:rPr>
            </w:pPr>
          </w:p>
        </w:tc>
        <w:tc>
          <w:tcPr>
            <w:tcW w:w="1318" w:type="pct"/>
            <w:tcBorders>
              <w:bottom w:val="single" w:color="auto" w:sz="4" w:space="0"/>
            </w:tcBorders>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望京变电站南</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489" w:type="pct"/>
            <w:vMerge w:val="continue"/>
            <w:vAlign w:val="center"/>
          </w:tcPr>
          <w:p>
            <w:pPr>
              <w:widowControl/>
              <w:jc w:val="center"/>
              <w:rPr>
                <w:rFonts w:ascii="Times New Roman" w:hAnsi="Times New Roman" w:eastAsia="宋体" w:cs="Times New Roman"/>
                <w:szCs w:val="21"/>
              </w:rPr>
            </w:pPr>
          </w:p>
        </w:tc>
        <w:tc>
          <w:tcPr>
            <w:tcW w:w="1318" w:type="pct"/>
            <w:tcBorders>
              <w:bottom w:val="single" w:color="auto" w:sz="4" w:space="0"/>
            </w:tcBorders>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望京变电站西</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489" w:type="pct"/>
            <w:vMerge w:val="continue"/>
            <w:tcBorders>
              <w:bottom w:val="single" w:color="auto" w:sz="4" w:space="0"/>
            </w:tcBorders>
            <w:vAlign w:val="center"/>
          </w:tcPr>
          <w:p>
            <w:pPr>
              <w:widowControl/>
              <w:jc w:val="center"/>
              <w:rPr>
                <w:rFonts w:ascii="Times New Roman" w:hAnsi="Times New Roman" w:eastAsia="宋体" w:cs="Times New Roman"/>
                <w:szCs w:val="21"/>
              </w:rPr>
            </w:pPr>
          </w:p>
        </w:tc>
        <w:tc>
          <w:tcPr>
            <w:tcW w:w="1318" w:type="pct"/>
            <w:tcBorders>
              <w:bottom w:val="single" w:color="auto" w:sz="4" w:space="0"/>
            </w:tcBorders>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望京变电站北</w:t>
            </w:r>
          </w:p>
        </w:tc>
        <w:tc>
          <w:tcPr>
            <w:tcW w:w="980" w:type="pct"/>
            <w:vMerge w:val="continue"/>
            <w:tcBorders>
              <w:bottom w:val="single" w:color="auto" w:sz="4" w:space="0"/>
            </w:tcBorders>
            <w:vAlign w:val="center"/>
          </w:tcPr>
          <w:p>
            <w:pPr>
              <w:widowControl/>
              <w:spacing w:line="360" w:lineRule="auto"/>
              <w:jc w:val="center"/>
              <w:rPr>
                <w:rFonts w:ascii="Times New Roman" w:hAnsi="Times New Roman" w:eastAsia="宋体" w:cs="Times New Roman"/>
                <w:szCs w:val="21"/>
              </w:rPr>
            </w:pPr>
          </w:p>
        </w:tc>
        <w:tc>
          <w:tcPr>
            <w:tcW w:w="888" w:type="pct"/>
            <w:vMerge w:val="continue"/>
            <w:tcBorders>
              <w:bottom w:val="single" w:color="auto" w:sz="4" w:space="0"/>
            </w:tcBorders>
            <w:vAlign w:val="center"/>
          </w:tcPr>
          <w:p>
            <w:pPr>
              <w:widowControl/>
              <w:spacing w:line="360" w:lineRule="auto"/>
              <w:jc w:val="center"/>
              <w:rPr>
                <w:rFonts w:ascii="Times New Roman" w:hAnsi="Times New Roman" w:eastAsia="宋体" w:cs="Times New Roman"/>
                <w:szCs w:val="21"/>
              </w:rPr>
            </w:pPr>
          </w:p>
        </w:tc>
        <w:tc>
          <w:tcPr>
            <w:tcW w:w="802" w:type="pct"/>
            <w:vMerge w:val="continue"/>
            <w:tcBorders>
              <w:bottom w:val="single" w:color="auto" w:sz="4" w:space="0"/>
            </w:tcBorders>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丰台区</w:t>
            </w:r>
          </w:p>
        </w:tc>
        <w:tc>
          <w:tcPr>
            <w:tcW w:w="980" w:type="pc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2013年12月</w:t>
            </w:r>
          </w:p>
        </w:tc>
        <w:tc>
          <w:tcPr>
            <w:tcW w:w="888" w:type="pct"/>
            <w:vMerge w:val="restart"/>
            <w:vAlign w:val="center"/>
          </w:tcPr>
          <w:p>
            <w:pPr>
              <w:widowControl/>
              <w:spacing w:line="360" w:lineRule="auto"/>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电磁环境质量</w:t>
            </w:r>
          </w:p>
        </w:tc>
        <w:tc>
          <w:tcPr>
            <w:tcW w:w="802" w:type="pct"/>
            <w:vMerge w:val="restart"/>
            <w:vAlign w:val="center"/>
          </w:tcPr>
          <w:p>
            <w:pPr>
              <w:widowControl/>
              <w:spacing w:line="240" w:lineRule="exact"/>
              <w:jc w:val="center"/>
              <w:rPr>
                <w:rFonts w:ascii="Times New Roman" w:hAnsi="Times New Roman" w:eastAsia="宋体" w:cs="Times New Roman"/>
                <w:szCs w:val="21"/>
              </w:rPr>
            </w:pPr>
            <w:r>
              <w:rPr>
                <w:rFonts w:ascii="Times New Roman" w:hAnsi="Times New Roman" w:eastAsia="宋体" w:cs="Times New Roman"/>
                <w:szCs w:val="21"/>
              </w:rPr>
              <w:t>100kHz～7GHz</w:t>
            </w: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朝阳区奥林匹克森林公园</w:t>
            </w:r>
          </w:p>
        </w:tc>
        <w:tc>
          <w:tcPr>
            <w:tcW w:w="980" w:type="pct"/>
            <w:vMerge w:val="restart"/>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2013年11月</w:t>
            </w: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西城区大观园</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东城区龙潭湖</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石景山生态环境局</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房山区长阳</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restart"/>
            <w:vAlign w:val="center"/>
          </w:tcPr>
          <w:p>
            <w:pPr>
              <w:widowControl/>
              <w:spacing w:line="360" w:lineRule="auto"/>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房山区窦店</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中央电视塔</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朝阳区双桥</w:t>
            </w:r>
          </w:p>
        </w:tc>
        <w:tc>
          <w:tcPr>
            <w:tcW w:w="980" w:type="pct"/>
            <w:vMerge w:val="continue"/>
            <w:vAlign w:val="center"/>
          </w:tcPr>
          <w:p>
            <w:pPr>
              <w:widowControl/>
              <w:spacing w:line="360" w:lineRule="auto"/>
              <w:jc w:val="center"/>
              <w:rPr>
                <w:rFonts w:ascii="Times New Roman" w:hAnsi="Times New Roman" w:eastAsia="宋体" w:cs="Times New Roman"/>
                <w:szCs w:val="21"/>
              </w:rPr>
            </w:pPr>
          </w:p>
        </w:tc>
        <w:tc>
          <w:tcPr>
            <w:tcW w:w="888" w:type="pct"/>
            <w:vMerge w:val="continue"/>
            <w:vAlign w:val="center"/>
          </w:tcPr>
          <w:p>
            <w:pPr>
              <w:widowControl/>
              <w:spacing w:line="360" w:lineRule="auto"/>
              <w:jc w:val="center"/>
              <w:rPr>
                <w:rFonts w:ascii="Times New Roman" w:hAnsi="Times New Roman" w:eastAsia="宋体" w:cs="Times New Roman"/>
                <w:szCs w:val="21"/>
              </w:rPr>
            </w:pPr>
          </w:p>
        </w:tc>
        <w:tc>
          <w:tcPr>
            <w:tcW w:w="802" w:type="pct"/>
            <w:vMerge w:val="continue"/>
            <w:vAlign w:val="center"/>
          </w:tcPr>
          <w:p>
            <w:pPr>
              <w:widowControl/>
              <w:spacing w:line="360" w:lineRule="auto"/>
              <w:jc w:val="center"/>
              <w:rPr>
                <w:rFonts w:ascii="Times New Roman" w:hAnsi="Times New Roman" w:eastAsia="宋体" w:cs="Times New Roman"/>
                <w:szCs w:val="21"/>
              </w:rPr>
            </w:pPr>
          </w:p>
        </w:tc>
        <w:tc>
          <w:tcPr>
            <w:tcW w:w="521" w:type="pct"/>
            <w:vMerge w:val="continue"/>
            <w:vAlign w:val="center"/>
          </w:tcPr>
          <w:p>
            <w:pPr>
              <w:widowControl/>
              <w:spacing w:line="360" w:lineRule="auto"/>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5000" w:type="pct"/>
            <w:gridSpan w:val="6"/>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上海市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489"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人民公园</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2011年</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电磁环境质量</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100kHz～3GHz</w:t>
            </w: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德国NAR**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动物园</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5000" w:type="pct"/>
            <w:gridSpan w:val="6"/>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陕西省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工频连续监测系统</w:t>
            </w: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西安市文艺南路变电站</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已建</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5Hz～</w:t>
            </w:r>
          </w:p>
          <w:p>
            <w:pPr>
              <w:jc w:val="center"/>
              <w:rPr>
                <w:rFonts w:ascii="Times New Roman" w:hAnsi="Times New Roman" w:eastAsia="宋体" w:cs="Times New Roman"/>
                <w:szCs w:val="21"/>
              </w:rPr>
            </w:pPr>
            <w:r>
              <w:rPr>
                <w:rFonts w:ascii="Times New Roman" w:hAnsi="Times New Roman" w:eastAsia="宋体" w:cs="Times New Roman"/>
                <w:szCs w:val="21"/>
              </w:rPr>
              <w:t>400kHz</w:t>
            </w: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spacing w:line="360" w:lineRule="auto"/>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kern w:val="0"/>
                <w:szCs w:val="21"/>
              </w:rPr>
              <w:t>渭南市毕家变电站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spacing w:line="360" w:lineRule="auto"/>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kern w:val="0"/>
                <w:szCs w:val="21"/>
              </w:rPr>
              <w:t>宝鸡市东岭110KV变电站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widowControl/>
              <w:spacing w:line="360" w:lineRule="auto"/>
              <w:jc w:val="center"/>
              <w:rPr>
                <w:rFonts w:ascii="Times New Roman" w:hAnsi="Times New Roman" w:eastAsia="宋体" w:cs="Times New Roman"/>
                <w:szCs w:val="21"/>
              </w:rPr>
            </w:pPr>
          </w:p>
        </w:tc>
        <w:tc>
          <w:tcPr>
            <w:tcW w:w="1318" w:type="pct"/>
            <w:vAlign w:val="center"/>
          </w:tcPr>
          <w:p>
            <w:pPr>
              <w:widowControl/>
              <w:jc w:val="center"/>
              <w:rPr>
                <w:rFonts w:ascii="Times New Roman" w:hAnsi="Times New Roman" w:eastAsia="宋体" w:cs="Times New Roman"/>
                <w:szCs w:val="21"/>
              </w:rPr>
            </w:pPr>
            <w:r>
              <w:rPr>
                <w:rFonts w:ascii="Times New Roman" w:hAnsi="Times New Roman" w:eastAsia="宋体" w:cs="Times New Roman"/>
                <w:kern w:val="0"/>
                <w:szCs w:val="21"/>
              </w:rPr>
              <w:t>咸阳市乐育110KV变电站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西安市环保大厦</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已建</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电磁环境质量</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100kHz~6GHz</w:t>
            </w: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西安市规划馆</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西安市省政府3号院</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西安市新城广场</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渭南市生态环境局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宝鸡市人民医院</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咸阳市移动公司</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西安市会展中心</w:t>
            </w:r>
          </w:p>
        </w:tc>
        <w:tc>
          <w:tcPr>
            <w:tcW w:w="980" w:type="pct"/>
            <w:vMerge w:val="continue"/>
            <w:vAlign w:val="center"/>
          </w:tcPr>
          <w:p>
            <w:pPr>
              <w:jc w:val="center"/>
              <w:rPr>
                <w:rFonts w:ascii="Times New Roman" w:hAnsi="Times New Roman" w:eastAsia="宋体" w:cs="Times New Roman"/>
                <w:szCs w:val="21"/>
              </w:rPr>
            </w:pPr>
          </w:p>
        </w:tc>
        <w:tc>
          <w:tcPr>
            <w:tcW w:w="888" w:type="pc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000" w:type="pct"/>
            <w:gridSpan w:val="6"/>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四川省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工频连续监测系统</w:t>
            </w: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成都玉林西路2号</w:t>
            </w:r>
          </w:p>
        </w:tc>
        <w:tc>
          <w:tcPr>
            <w:tcW w:w="980"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2017年8月</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10Hz~5kHz</w:t>
            </w:r>
          </w:p>
        </w:tc>
        <w:tc>
          <w:tcPr>
            <w:tcW w:w="52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德国NAR**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trPr>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广元城南110Kv变电站</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已建</w:t>
            </w: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广安市金安大道上段77号</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成都成华公园</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2017年8月</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100kHz~3GHz</w:t>
            </w: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德国NAR**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成都锦城公园</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成都琉三路16号</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绵阳市523台</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已建</w:t>
            </w: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绵阳市太极集团</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乐山市财政局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乐山市525台</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宜宾市524台</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宜宾市委党校</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广元市527台</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眉山市东坡湿地公园</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广安市金安大道上段77号</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南充市第五人民医院</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攀枝花516台</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德阳市522台</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成都新都520台</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湖北省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工频连续监测系统</w:t>
            </w: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武汉市沈阳路变电站</w:t>
            </w:r>
          </w:p>
        </w:tc>
        <w:tc>
          <w:tcPr>
            <w:tcW w:w="980" w:type="pct"/>
            <w:vMerge w:val="restart"/>
            <w:vAlign w:val="center"/>
          </w:tcPr>
          <w:p>
            <w:pPr>
              <w:jc w:val="center"/>
              <w:rPr>
                <w:rFonts w:ascii="Times New Roman" w:hAnsi="Times New Roman" w:eastAsia="宋体" w:cs="Times New Roman"/>
                <w:szCs w:val="21"/>
              </w:rPr>
            </w:pPr>
            <w:bookmarkStart w:id="40" w:name="OLE_LINK2"/>
            <w:r>
              <w:rPr>
                <w:rFonts w:ascii="Times New Roman" w:hAnsi="Times New Roman" w:eastAsia="宋体" w:cs="Times New Roman"/>
                <w:szCs w:val="21"/>
              </w:rPr>
              <w:t>2016年6月</w:t>
            </w:r>
            <w:bookmarkEnd w:id="40"/>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Align w:val="center"/>
          </w:tcPr>
          <w:p>
            <w:pPr>
              <w:jc w:val="center"/>
              <w:rPr>
                <w:rFonts w:ascii="Times New Roman" w:hAnsi="Times New Roman" w:eastAsia="宋体" w:cs="Times New Roman"/>
                <w:szCs w:val="21"/>
              </w:rPr>
            </w:pP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武汉市紫阳湖变电站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武汉市宗关变电站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武汉市蔡家嘴变电站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北京**盛泰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武汉市民之家南门</w:t>
            </w:r>
          </w:p>
        </w:tc>
        <w:tc>
          <w:tcPr>
            <w:tcW w:w="980"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2015年5月</w:t>
            </w:r>
          </w:p>
        </w:tc>
        <w:tc>
          <w:tcPr>
            <w:tcW w:w="888" w:type="pc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电磁辐射设施</w:t>
            </w:r>
          </w:p>
        </w:tc>
        <w:tc>
          <w:tcPr>
            <w:tcW w:w="80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100kHz~7GHz</w:t>
            </w:r>
          </w:p>
        </w:tc>
        <w:tc>
          <w:tcPr>
            <w:tcW w:w="52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北京**科技股份有限公司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河南省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郑州五龙口污水处理厂</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2010年5月</w:t>
            </w:r>
          </w:p>
        </w:tc>
        <w:tc>
          <w:tcPr>
            <w:tcW w:w="888" w:type="pct"/>
            <w:vMerge w:val="restart"/>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电磁环境质量</w:t>
            </w:r>
          </w:p>
        </w:tc>
        <w:tc>
          <w:tcPr>
            <w:tcW w:w="802"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100kHz~3GHz</w:t>
            </w:r>
          </w:p>
        </w:tc>
        <w:tc>
          <w:tcPr>
            <w:tcW w:w="521"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德国NAR**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河南辐射环境安全技术中心</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河南省广播电视发射中心</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开封市生态环境局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洛阳市生态环境局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平顶山市生态环境局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安阳市生态环境局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鹤壁市生态环境局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新乡市生态环境局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濮阳市生态环境局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许昌市生态环境局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焦作市生态环境局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漯河市生态环境局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三门峡市生态环境局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南阳市生态环境局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商丘市环境监察支队</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信阳师范学院</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周口市监测站</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驻马店市生态环境局</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济源市科研苑</w:t>
            </w:r>
          </w:p>
        </w:tc>
        <w:tc>
          <w:tcPr>
            <w:tcW w:w="980" w:type="pct"/>
            <w:vMerge w:val="continue"/>
            <w:vAlign w:val="center"/>
          </w:tcPr>
          <w:p>
            <w:pPr>
              <w:jc w:val="center"/>
              <w:rPr>
                <w:rFonts w:ascii="Times New Roman" w:hAnsi="Times New Roman" w:eastAsia="宋体" w:cs="Times New Roman"/>
                <w:szCs w:val="21"/>
              </w:rPr>
            </w:pPr>
          </w:p>
        </w:tc>
        <w:tc>
          <w:tcPr>
            <w:tcW w:w="888" w:type="pct"/>
            <w:vMerge w:val="continue"/>
            <w:vAlign w:val="center"/>
          </w:tcPr>
          <w:p>
            <w:pPr>
              <w:jc w:val="center"/>
              <w:rPr>
                <w:rFonts w:ascii="Times New Roman" w:hAnsi="Times New Roman" w:eastAsia="宋体" w:cs="Times New Roman"/>
                <w:szCs w:val="21"/>
              </w:rPr>
            </w:pPr>
          </w:p>
        </w:tc>
        <w:tc>
          <w:tcPr>
            <w:tcW w:w="802" w:type="pct"/>
            <w:vMerge w:val="continue"/>
            <w:vAlign w:val="center"/>
          </w:tcPr>
          <w:p>
            <w:pPr>
              <w:jc w:val="center"/>
              <w:rPr>
                <w:rFonts w:ascii="Times New Roman" w:hAnsi="Times New Roman" w:eastAsia="宋体" w:cs="Times New Roman"/>
                <w:szCs w:val="21"/>
              </w:rPr>
            </w:pPr>
          </w:p>
        </w:tc>
        <w:tc>
          <w:tcPr>
            <w:tcW w:w="521" w:type="pct"/>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6"/>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黑龙江省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射频连续监测系统</w:t>
            </w:r>
          </w:p>
        </w:tc>
        <w:tc>
          <w:tcPr>
            <w:tcW w:w="131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可移动式电磁连续监测系统</w:t>
            </w:r>
          </w:p>
        </w:tc>
        <w:tc>
          <w:tcPr>
            <w:tcW w:w="980"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2017年6月</w:t>
            </w:r>
          </w:p>
        </w:tc>
        <w:tc>
          <w:tcPr>
            <w:tcW w:w="888"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802"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100kHz~7GHz</w:t>
            </w:r>
          </w:p>
        </w:tc>
        <w:tc>
          <w:tcPr>
            <w:tcW w:w="521" w:type="pc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德国NAR**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工频连续监测系统</w:t>
            </w:r>
          </w:p>
        </w:tc>
        <w:tc>
          <w:tcPr>
            <w:tcW w:w="1318" w:type="pct"/>
            <w:vAlign w:val="center"/>
          </w:tcPr>
          <w:p>
            <w:pPr>
              <w:spacing w:line="360" w:lineRule="auto"/>
              <w:jc w:val="center"/>
              <w:rPr>
                <w:rFonts w:ascii="Times New Roman" w:hAnsi="Times New Roman" w:eastAsia="宋体" w:cs="Times New Roman"/>
                <w:szCs w:val="21"/>
              </w:rPr>
            </w:pPr>
            <w:r>
              <w:rPr>
                <w:rFonts w:hint="default" w:ascii="Times New Roman" w:hAnsi="Times New Roman" w:eastAsia="宋体" w:cs="Times New Roman"/>
                <w:sz w:val="21"/>
                <w:szCs w:val="21"/>
              </w:rPr>
              <w:t>海盐前沿站</w:t>
            </w:r>
          </w:p>
        </w:tc>
        <w:tc>
          <w:tcPr>
            <w:tcW w:w="980" w:type="pct"/>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2014年7月</w:t>
            </w:r>
          </w:p>
        </w:tc>
        <w:tc>
          <w:tcPr>
            <w:tcW w:w="888" w:type="pct"/>
            <w:vAlign w:val="center"/>
          </w:tcPr>
          <w:p>
            <w:pPr>
              <w:jc w:val="center"/>
              <w:rPr>
                <w:rFonts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restar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10Hz~3000Hz</w:t>
            </w: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hint="default" w:ascii="Times New Roman" w:hAnsi="Times New Roman" w:eastAsia="宋体" w:cs="Times New Roman"/>
                <w:sz w:val="21"/>
                <w:szCs w:val="21"/>
              </w:rPr>
              <w:t>三门前沿站</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continue"/>
            <w:tcBorders/>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hint="default" w:ascii="Times New Roman" w:hAnsi="Times New Roman" w:eastAsia="宋体" w:cs="Times New Roman"/>
                <w:sz w:val="21"/>
                <w:szCs w:val="21"/>
              </w:rPr>
              <w:t>浙江环保大厦楼顶</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continue"/>
            <w:tcBorders/>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ascii="Times New Roman" w:hAnsi="Times New Roman" w:eastAsia="宋体" w:cs="Times New Roman"/>
                <w:szCs w:val="21"/>
              </w:rPr>
            </w:pPr>
            <w:r>
              <w:rPr>
                <w:rFonts w:hint="default" w:ascii="Times New Roman" w:hAnsi="Times New Roman" w:eastAsia="宋体" w:cs="Times New Roman"/>
                <w:sz w:val="21"/>
                <w:szCs w:val="21"/>
              </w:rPr>
              <w:t>半山废物库</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continue"/>
            <w:tcBorders/>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射频连续监测系统</w:t>
            </w: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海盐前沿站</w:t>
            </w:r>
          </w:p>
        </w:tc>
        <w:tc>
          <w:tcPr>
            <w:tcW w:w="980" w:type="pct"/>
            <w:vMerge w:val="continue"/>
            <w:tcBorders/>
            <w:vAlign w:val="center"/>
          </w:tcPr>
          <w:p>
            <w:pPr>
              <w:jc w:val="center"/>
              <w:rPr>
                <w:rFonts w:hint="default" w:ascii="Times New Roman" w:hAnsi="Times New Roman" w:eastAsia="宋体" w:cs="Times New Roman"/>
                <w:kern w:val="2"/>
                <w:sz w:val="21"/>
                <w:szCs w:val="21"/>
                <w:lang w:val="en-US" w:eastAsia="zh-CN" w:bidi="ar-SA"/>
              </w:rPr>
            </w:pPr>
          </w:p>
        </w:tc>
        <w:tc>
          <w:tcPr>
            <w:tcW w:w="888"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restar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100kHz~3GHz</w:t>
            </w: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三门前沿站</w:t>
            </w:r>
          </w:p>
        </w:tc>
        <w:tc>
          <w:tcPr>
            <w:tcW w:w="980" w:type="pct"/>
            <w:vMerge w:val="continue"/>
            <w:tcBorders/>
            <w:vAlign w:val="center"/>
          </w:tcPr>
          <w:p>
            <w:pPr>
              <w:jc w:val="center"/>
              <w:rPr>
                <w:rFonts w:hint="default" w:ascii="Times New Roman" w:hAnsi="Times New Roman" w:eastAsia="宋体" w:cs="Times New Roman"/>
                <w:kern w:val="2"/>
                <w:sz w:val="21"/>
                <w:szCs w:val="21"/>
                <w:lang w:val="en-US" w:eastAsia="zh-CN" w:bidi="ar-SA"/>
              </w:rPr>
            </w:pPr>
          </w:p>
        </w:tc>
        <w:tc>
          <w:tcPr>
            <w:tcW w:w="888"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continue"/>
            <w:tcBorders/>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浙江环保大厦楼顶</w:t>
            </w:r>
          </w:p>
        </w:tc>
        <w:tc>
          <w:tcPr>
            <w:tcW w:w="980" w:type="pct"/>
            <w:vMerge w:val="continue"/>
            <w:tcBorders/>
            <w:vAlign w:val="center"/>
          </w:tcPr>
          <w:p>
            <w:pPr>
              <w:jc w:val="center"/>
              <w:rPr>
                <w:rFonts w:hint="default" w:ascii="Times New Roman" w:hAnsi="Times New Roman" w:eastAsia="宋体" w:cs="Times New Roman"/>
                <w:kern w:val="2"/>
                <w:sz w:val="21"/>
                <w:szCs w:val="21"/>
                <w:lang w:val="en-US" w:eastAsia="zh-CN" w:bidi="ar-SA"/>
              </w:rPr>
            </w:pPr>
          </w:p>
        </w:tc>
        <w:tc>
          <w:tcPr>
            <w:tcW w:w="888"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continue"/>
            <w:tcBorders/>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半山废物库</w:t>
            </w:r>
          </w:p>
        </w:tc>
        <w:tc>
          <w:tcPr>
            <w:tcW w:w="980" w:type="pct"/>
            <w:vMerge w:val="continue"/>
            <w:tcBorders/>
            <w:vAlign w:val="center"/>
          </w:tcPr>
          <w:p>
            <w:pPr>
              <w:jc w:val="center"/>
              <w:rPr>
                <w:rFonts w:hint="default" w:ascii="Times New Roman" w:hAnsi="Times New Roman" w:eastAsia="宋体" w:cs="Times New Roman"/>
                <w:kern w:val="2"/>
                <w:sz w:val="21"/>
                <w:szCs w:val="21"/>
                <w:lang w:val="en-US" w:eastAsia="zh-CN" w:bidi="ar-SA"/>
              </w:rPr>
            </w:pPr>
          </w:p>
        </w:tc>
        <w:tc>
          <w:tcPr>
            <w:tcW w:w="888"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电磁环境质量</w:t>
            </w:r>
          </w:p>
        </w:tc>
        <w:tc>
          <w:tcPr>
            <w:tcW w:w="802" w:type="pct"/>
            <w:vMerge w:val="continue"/>
            <w:tcBorders/>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工频连续监测系统</w:t>
            </w: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可移动实时在线监测系统</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802" w:type="pc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10Hz~3000Hz</w:t>
            </w: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可移动实时在线监测系统</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802" w:type="pct"/>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restar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射频连续监测系统</w:t>
            </w: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可移动实时在线监测系统</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802" w:type="pct"/>
            <w:vAlign w:val="center"/>
          </w:tcPr>
          <w:p>
            <w:pPr>
              <w:jc w:val="center"/>
              <w:rPr>
                <w:rFonts w:ascii="Times New Roman" w:hAnsi="Times New Roman" w:eastAsia="宋体" w:cs="Times New Roman"/>
                <w:szCs w:val="21"/>
              </w:rPr>
            </w:pPr>
            <w:r>
              <w:rPr>
                <w:rFonts w:hint="default" w:ascii="Times New Roman" w:hAnsi="Times New Roman" w:eastAsia="宋体" w:cs="Times New Roman"/>
                <w:sz w:val="21"/>
                <w:szCs w:val="21"/>
              </w:rPr>
              <w:t>100kHz~3GHz</w:t>
            </w: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vMerge w:val="continue"/>
            <w:tcBorders/>
            <w:vAlign w:val="center"/>
          </w:tcPr>
          <w:p>
            <w:pPr>
              <w:jc w:val="center"/>
              <w:rPr>
                <w:rFonts w:ascii="Times New Roman" w:hAnsi="Times New Roman" w:eastAsia="宋体" w:cs="Times New Roman"/>
                <w:szCs w:val="21"/>
              </w:rPr>
            </w:pPr>
          </w:p>
        </w:tc>
        <w:tc>
          <w:tcPr>
            <w:tcW w:w="1318" w:type="pct"/>
            <w:vAlign w:val="center"/>
          </w:tcPr>
          <w:p>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可移动实时在线监测系统</w:t>
            </w:r>
          </w:p>
        </w:tc>
        <w:tc>
          <w:tcPr>
            <w:tcW w:w="980" w:type="pct"/>
            <w:vMerge w:val="continue"/>
            <w:tcBorders/>
            <w:vAlign w:val="center"/>
          </w:tcPr>
          <w:p>
            <w:pPr>
              <w:jc w:val="center"/>
              <w:rPr>
                <w:rFonts w:ascii="Times New Roman" w:hAnsi="Times New Roman" w:eastAsia="宋体" w:cs="Times New Roman"/>
                <w:szCs w:val="21"/>
              </w:rPr>
            </w:pPr>
          </w:p>
        </w:tc>
        <w:tc>
          <w:tcPr>
            <w:tcW w:w="888"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c>
          <w:tcPr>
            <w:tcW w:w="802" w:type="pct"/>
            <w:vAlign w:val="center"/>
          </w:tcPr>
          <w:p>
            <w:pPr>
              <w:jc w:val="center"/>
              <w:rPr>
                <w:rFonts w:ascii="Times New Roman" w:hAnsi="Times New Roman" w:eastAsia="宋体" w:cs="Times New Roman"/>
                <w:szCs w:val="21"/>
              </w:rPr>
            </w:pPr>
          </w:p>
        </w:tc>
        <w:tc>
          <w:tcPr>
            <w:tcW w:w="521" w:type="pct"/>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w:t>
            </w:r>
          </w:p>
        </w:tc>
      </w:tr>
    </w:tbl>
    <w:p>
      <w:pPr>
        <w:pStyle w:val="3"/>
        <w:rPr>
          <w:rFonts w:ascii="黑体" w:hAnsi="黑体" w:eastAsia="黑体"/>
          <w:b w:val="0"/>
        </w:rPr>
      </w:pPr>
      <w:bookmarkStart w:id="41" w:name="_Toc23164"/>
      <w:r>
        <w:rPr>
          <w:rFonts w:hint="eastAsia" w:ascii="黑体" w:hAnsi="黑体" w:eastAsia="黑体"/>
          <w:b w:val="0"/>
        </w:rPr>
        <w:t>5.</w:t>
      </w:r>
      <w:r>
        <w:rPr>
          <w:rFonts w:hint="eastAsia" w:ascii="黑体" w:hAnsi="黑体" w:eastAsia="黑体"/>
          <w:b w:val="0"/>
          <w:lang w:val="en-US" w:eastAsia="zh-CN"/>
        </w:rPr>
        <w:t>3</w:t>
      </w:r>
      <w:r>
        <w:rPr>
          <w:rFonts w:hint="eastAsia" w:ascii="黑体" w:hAnsi="黑体" w:eastAsia="黑体"/>
          <w:b w:val="0"/>
        </w:rPr>
        <w:t xml:space="preserve">  国外电磁辐射环境自动站建设</w:t>
      </w:r>
      <w:bookmarkEnd w:id="36"/>
      <w:bookmarkEnd w:id="41"/>
    </w:p>
    <w:p>
      <w:pPr>
        <w:widowControl/>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意大利、德国、瑞士、西班牙等国家是较早在主要大城市开展电磁辐射环境自动监测工作的国家，监测方式主要采用连续自动监测方式。监测布点主要针对广播、电视、移动通信基站以及变电站的电磁辐射环境影响。监测因子主要考虑不同</w:t>
      </w:r>
      <w:r>
        <w:rPr>
          <w:rFonts w:hint="eastAsia" w:ascii="Times New Roman" w:hAnsi="Times New Roman" w:eastAsia="宋体" w:cs="Times New Roman"/>
          <w:szCs w:val="21"/>
          <w:lang w:eastAsia="zh-CN"/>
        </w:rPr>
        <w:t>电磁辐射设施</w:t>
      </w:r>
      <w:r>
        <w:rPr>
          <w:rFonts w:ascii="Times New Roman" w:hAnsi="Times New Roman" w:eastAsia="宋体" w:cs="Times New Roman"/>
          <w:szCs w:val="21"/>
        </w:rPr>
        <w:t>及其辐射场的特征；测量1Hz－10kHz的低频电磁场和100kHz－3GHz的射频电场，自动监测数据通过网络平台向公众公开。</w:t>
      </w:r>
    </w:p>
    <w:p>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以意大利为例，意大利从2003年开始在全国范围各大城市建设了电磁环境自动监测网，实施主体和数据发布均为意大利环境事务中心等职能机构，监测数据在网站上实时公布。完整的网络大约1200个，按比例分为每50000居民设置一个监测站。</w:t>
      </w:r>
    </w:p>
    <w:p>
      <w:pPr>
        <w:widowControl/>
        <w:spacing w:line="360" w:lineRule="auto"/>
        <w:rPr>
          <w:rFonts w:ascii="黑体" w:hAnsi="黑体" w:eastAsia="黑体"/>
          <w:szCs w:val="21"/>
        </w:rPr>
      </w:pPr>
      <w:r>
        <w:rPr>
          <w:rFonts w:hint="eastAsia" w:ascii="黑体" w:hAnsi="黑体" w:eastAsia="黑体"/>
          <w:szCs w:val="21"/>
        </w:rPr>
        <w:t>5.</w:t>
      </w:r>
      <w:r>
        <w:rPr>
          <w:rFonts w:hint="eastAsia" w:ascii="黑体" w:hAnsi="黑体" w:eastAsia="黑体"/>
          <w:szCs w:val="21"/>
          <w:lang w:val="en-US" w:eastAsia="zh-CN"/>
        </w:rPr>
        <w:t>3</w:t>
      </w:r>
      <w:r>
        <w:rPr>
          <w:rFonts w:hint="eastAsia" w:ascii="黑体" w:hAnsi="黑体" w:eastAsia="黑体"/>
          <w:szCs w:val="21"/>
        </w:rPr>
        <w:t>.</w:t>
      </w:r>
      <w:r>
        <w:rPr>
          <w:rFonts w:ascii="黑体" w:hAnsi="黑体" w:eastAsia="黑体"/>
          <w:szCs w:val="21"/>
        </w:rPr>
        <w:t>1</w:t>
      </w:r>
      <w:r>
        <w:rPr>
          <w:rFonts w:hint="eastAsia" w:ascii="黑体" w:hAnsi="黑体" w:eastAsia="黑体"/>
          <w:szCs w:val="21"/>
        </w:rPr>
        <w:t>. 意大利固定点监测系统</w:t>
      </w:r>
    </w:p>
    <w:p>
      <w:pPr>
        <w:widowControl/>
        <w:spacing w:line="360" w:lineRule="auto"/>
        <w:ind w:firstLine="420" w:firstLineChars="200"/>
        <w:rPr>
          <w:rFonts w:ascii="Times New Roman" w:hAnsi="Times New Roman" w:eastAsia="宋体" w:cs="Times New Roman"/>
          <w:bCs/>
          <w:szCs w:val="21"/>
        </w:rPr>
      </w:pPr>
      <w:r>
        <w:rPr>
          <w:rFonts w:ascii="Times New Roman" w:hAnsi="Times New Roman" w:eastAsia="宋体" w:cs="Times New Roman"/>
          <w:bCs/>
          <w:szCs w:val="21"/>
        </w:rPr>
        <w:t>系统主要由无限量监测子站组成，采用分级密码权限管理，可由一台个人计算机进行中心控制，该网络是基于远程监测站和传输结构的。根据要求，测量的持续时间在两周到四周之间，另外还规定了正确布置监测站的标准，主要为远离可能影响测量值的来源，例如其它蜂窝基站。</w:t>
      </w:r>
    </w:p>
    <w:p>
      <w:pPr>
        <w:widowControl/>
        <w:spacing w:line="360" w:lineRule="auto"/>
        <w:ind w:firstLine="420" w:firstLineChars="200"/>
        <w:rPr>
          <w:rFonts w:ascii="Times New Roman" w:hAnsi="Times New Roman" w:eastAsia="宋体" w:cs="Times New Roman"/>
          <w:bCs/>
          <w:szCs w:val="21"/>
        </w:rPr>
      </w:pPr>
      <w:r>
        <w:rPr>
          <w:rFonts w:ascii="Times New Roman" w:hAnsi="Times New Roman" w:eastAsia="宋体" w:cs="Times New Roman"/>
          <w:bCs/>
          <w:szCs w:val="21"/>
        </w:rPr>
        <w:t>各监测站宽频带和多频带探头都用于检测100kHz~3GHz之间的射频综合电场。仪器动态范围为0.5~100V/m，工作温度为-10～+50℃。宽带探头可以满足监测网络的基本要求，即验证整个频段的辐射限值。这些探头通过三个正交的传感器直接测量电场，传感器沿着X、Y和Z轴放置，传感器被组合在一起以评估场，评估测量频带中所有源的综合电场。另外由于主要类别的信号源，即两台或三台探头，产生了对电场的单独测量，因此重点是布置多波段探测器，因为这些可以帮助环境保护机构对测量数据进行解释和验证。</w:t>
      </w:r>
    </w:p>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4752340" cy="2934335"/>
            <wp:effectExtent l="19050" t="0" r="0" b="0"/>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noChangeArrowheads="1"/>
                    </pic:cNvPicPr>
                  </pic:nvPicPr>
                  <pic:blipFill>
                    <a:blip r:embed="rId10" cstate="print"/>
                    <a:srcRect/>
                    <a:stretch>
                      <a:fillRect/>
                    </a:stretch>
                  </pic:blipFill>
                  <pic:spPr>
                    <a:xfrm>
                      <a:off x="0" y="0"/>
                      <a:ext cx="4757213" cy="2937340"/>
                    </a:xfrm>
                    <a:prstGeom prst="rect">
                      <a:avLst/>
                    </a:prstGeom>
                    <a:noFill/>
                    <a:ln w="9525">
                      <a:noFill/>
                      <a:miter lim="800000"/>
                      <a:headEnd/>
                      <a:tailEnd/>
                    </a:ln>
                  </pic:spPr>
                </pic:pic>
              </a:graphicData>
            </a:graphic>
          </wp:inline>
        </w:drawing>
      </w:r>
    </w:p>
    <w:p>
      <w:pPr>
        <w:widowControl/>
        <w:spacing w:line="360" w:lineRule="auto"/>
        <w:ind w:firstLine="480"/>
        <w:jc w:val="center"/>
        <w:rPr>
          <w:rFonts w:ascii="Times New Roman" w:hAnsi="Times New Roman" w:eastAsia="宋体" w:cs="Times New Roman"/>
          <w:szCs w:val="21"/>
        </w:rPr>
      </w:pPr>
      <w:r>
        <w:rPr>
          <w:rFonts w:ascii="Times New Roman" w:hAnsi="Times New Roman" w:eastAsia="宋体" w:cs="Times New Roman"/>
          <w:szCs w:val="21"/>
        </w:rPr>
        <w:t>图5-</w:t>
      </w:r>
      <w:r>
        <w:rPr>
          <w:rFonts w:hint="eastAsia" w:ascii="Times New Roman" w:hAnsi="Times New Roman" w:eastAsia="宋体" w:cs="Times New Roman"/>
          <w:szCs w:val="21"/>
          <w:lang w:val="en-US" w:eastAsia="zh-CN"/>
        </w:rPr>
        <w:t>4</w:t>
      </w:r>
      <w:r>
        <w:rPr>
          <w:rFonts w:ascii="Times New Roman" w:hAnsi="Times New Roman" w:eastAsia="宋体" w:cs="Times New Roman"/>
          <w:szCs w:val="21"/>
        </w:rPr>
        <w:t xml:space="preserve"> 电磁场监测网络的体系结构</w:t>
      </w:r>
    </w:p>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4652645" cy="2743200"/>
            <wp:effectExtent l="19050" t="0" r="0" b="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noChangeArrowheads="1"/>
                    </pic:cNvPicPr>
                  </pic:nvPicPr>
                  <pic:blipFill>
                    <a:blip r:embed="rId11" cstate="print"/>
                    <a:srcRect t="3743"/>
                    <a:stretch>
                      <a:fillRect/>
                    </a:stretch>
                  </pic:blipFill>
                  <pic:spPr>
                    <a:xfrm>
                      <a:off x="0" y="0"/>
                      <a:ext cx="4654550" cy="2744137"/>
                    </a:xfrm>
                    <a:prstGeom prst="rect">
                      <a:avLst/>
                    </a:prstGeom>
                    <a:noFill/>
                    <a:ln w="9525">
                      <a:noFill/>
                      <a:miter lim="800000"/>
                      <a:headEnd/>
                      <a:tailEnd/>
                    </a:ln>
                  </pic:spPr>
                </pic:pic>
              </a:graphicData>
            </a:graphic>
          </wp:inline>
        </w:drawing>
      </w:r>
    </w:p>
    <w:p>
      <w:pPr>
        <w:spacing w:line="360" w:lineRule="auto"/>
        <w:ind w:firstLine="420" w:firstLineChars="200"/>
        <w:jc w:val="center"/>
        <w:rPr>
          <w:rFonts w:ascii="Times New Roman" w:hAnsi="Times New Roman" w:eastAsia="宋体" w:cs="Times New Roman"/>
          <w:szCs w:val="21"/>
        </w:rPr>
      </w:pPr>
      <w:r>
        <w:rPr>
          <w:rFonts w:ascii="Times New Roman" w:hAnsi="Times New Roman" w:eastAsia="宋体" w:cs="Times New Roman"/>
          <w:szCs w:val="21"/>
        </w:rPr>
        <w:t>图5-</w:t>
      </w:r>
      <w:r>
        <w:rPr>
          <w:rFonts w:hint="eastAsia" w:ascii="Times New Roman" w:hAnsi="Times New Roman" w:eastAsia="宋体" w:cs="Times New Roman"/>
          <w:szCs w:val="21"/>
          <w:lang w:val="en-US" w:eastAsia="zh-CN"/>
        </w:rPr>
        <w:t>5</w:t>
      </w:r>
      <w:r>
        <w:rPr>
          <w:rFonts w:ascii="Times New Roman" w:hAnsi="Times New Roman" w:eastAsia="宋体" w:cs="Times New Roman"/>
          <w:szCs w:val="21"/>
        </w:rPr>
        <w:t xml:space="preserve"> 典型的监测站</w:t>
      </w:r>
    </w:p>
    <w:p>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所有监测站都配有光伏阵列，并配备了GSM调制解调器，用于与相关的本地控制中心通信，下行链路用于远程配置、编程和轮询，上行链路用于报告测量结果和其他诸如警报之类的信息。本地控制中心由一台配备有专门软件的个人电脑组成，可与不同类型的监测站进行交互。经当地环境保护局人员验证后，每个本地控制中心通过电子邮件将数据传送给FUB工作人员，然后将这些数据上载到国家储存中心数据库中。有效的数据也可以在项目网站上公开获得，而非有效数据只是为了文件目的而存储的，但在官方统计中不予考虑。</w:t>
      </w:r>
    </w:p>
    <w:p>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公布的数据包括宽带平均值（超过6分钟）和电场峰值。6分钟平均时间由意大利现行规定要求。</w:t>
      </w:r>
    </w:p>
    <w:p>
      <w:pPr>
        <w:spacing w:line="360" w:lineRule="auto"/>
        <w:jc w:val="left"/>
        <w:rPr>
          <w:rFonts w:ascii="黑体" w:hAnsi="黑体" w:eastAsia="黑体"/>
          <w:szCs w:val="21"/>
        </w:rPr>
      </w:pPr>
      <w:r>
        <w:rPr>
          <w:rFonts w:hint="eastAsia" w:ascii="黑体" w:hAnsi="黑体" w:eastAsia="黑体"/>
          <w:szCs w:val="21"/>
        </w:rPr>
        <w:t>5.</w:t>
      </w:r>
      <w:r>
        <w:rPr>
          <w:rFonts w:hint="eastAsia" w:ascii="黑体" w:hAnsi="黑体" w:eastAsia="黑体"/>
          <w:szCs w:val="21"/>
          <w:lang w:val="en-US" w:eastAsia="zh-CN"/>
        </w:rPr>
        <w:t>3</w:t>
      </w:r>
      <w:r>
        <w:rPr>
          <w:rFonts w:hint="eastAsia" w:ascii="黑体" w:hAnsi="黑体" w:eastAsia="黑体"/>
          <w:szCs w:val="21"/>
        </w:rPr>
        <w:t>.</w:t>
      </w:r>
      <w:r>
        <w:rPr>
          <w:rFonts w:ascii="黑体" w:hAnsi="黑体" w:eastAsia="黑体"/>
          <w:szCs w:val="21"/>
        </w:rPr>
        <w:t>2</w:t>
      </w:r>
      <w:r>
        <w:rPr>
          <w:rFonts w:hint="eastAsia" w:ascii="黑体" w:hAnsi="黑体" w:eastAsia="黑体"/>
          <w:szCs w:val="21"/>
        </w:rPr>
        <w:t xml:space="preserve">  意大利移动式监测系统</w:t>
      </w:r>
    </w:p>
    <w:p>
      <w:pPr>
        <w:widowControl/>
        <w:spacing w:line="360" w:lineRule="auto"/>
        <w:ind w:firstLine="482"/>
        <w:rPr>
          <w:rFonts w:ascii="Times New Roman" w:hAnsi="Times New Roman" w:eastAsia="宋体" w:cs="Times New Roman"/>
          <w:szCs w:val="21"/>
        </w:rPr>
      </w:pPr>
      <w:r>
        <w:rPr>
          <w:rFonts w:ascii="Times New Roman" w:hAnsi="Times New Roman" w:eastAsia="宋体" w:cs="Times New Roman"/>
          <w:szCs w:val="21"/>
        </w:rPr>
        <w:t>BluBus和BluShuttle是FUB代表意大利通讯部实现的一个非常创新的交流工具，目的是在EMF暴露问题上直接向市民提供正确、透明和完整的信息。</w:t>
      </w:r>
    </w:p>
    <w:p>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BluBus是一个12m长的巴士，同时包括一个移动会议场所和一个便携式EMF实验室。外面可以放置一个最多可容纳50人的帐篷。</w:t>
      </w:r>
    </w:p>
    <w:p>
      <w:pPr>
        <w:rPr>
          <w:rFonts w:ascii="Times New Roman" w:hAnsi="Times New Roman" w:eastAsia="宋体" w:cs="Times New Roman"/>
          <w:szCs w:val="21"/>
        </w:rPr>
      </w:pPr>
      <w:r>
        <w:rPr>
          <w:rFonts w:ascii="Times New Roman" w:hAnsi="Times New Roman" w:eastAsia="宋体" w:cs="Times New Roman"/>
          <w:szCs w:val="21"/>
        </w:rPr>
        <w:br w:type="page"/>
      </w:r>
    </w:p>
    <w:p>
      <w:pPr>
        <w:spacing w:line="360" w:lineRule="auto"/>
        <w:ind w:firstLine="420" w:firstLineChars="200"/>
        <w:jc w:val="left"/>
        <w:rPr>
          <w:rFonts w:ascii="Times New Roman" w:hAnsi="Times New Roman" w:eastAsia="宋体" w:cs="Times New Roman"/>
          <w:szCs w:val="21"/>
        </w:rPr>
      </w:pPr>
    </w:p>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2209800" cy="1704975"/>
            <wp:effectExtent l="1905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12" cstate="print"/>
                    <a:srcRect/>
                    <a:stretch>
                      <a:fillRect/>
                    </a:stretch>
                  </pic:blipFill>
                  <pic:spPr>
                    <a:xfrm>
                      <a:off x="0" y="0"/>
                      <a:ext cx="2209800" cy="1704975"/>
                    </a:xfrm>
                    <a:prstGeom prst="rect">
                      <a:avLst/>
                    </a:prstGeom>
                    <a:noFill/>
                    <a:ln w="9525">
                      <a:noFill/>
                      <a:miter lim="800000"/>
                      <a:headEnd/>
                      <a:tailEnd/>
                    </a:ln>
                  </pic:spPr>
                </pic:pic>
              </a:graphicData>
            </a:graphic>
          </wp:inline>
        </w:drawing>
      </w:r>
      <w:r>
        <w:rPr>
          <w:rFonts w:ascii="Times New Roman" w:hAnsi="Times New Roman" w:eastAsia="宋体" w:cs="Times New Roman"/>
          <w:szCs w:val="21"/>
        </w:rPr>
        <w:drawing>
          <wp:inline distT="0" distB="0" distL="0" distR="0">
            <wp:extent cx="2457450" cy="1695450"/>
            <wp:effectExtent l="19050" t="0" r="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noChangeArrowheads="1"/>
                    </pic:cNvPicPr>
                  </pic:nvPicPr>
                  <pic:blipFill>
                    <a:blip r:embed="rId13" cstate="print"/>
                    <a:srcRect/>
                    <a:stretch>
                      <a:fillRect/>
                    </a:stretch>
                  </pic:blipFill>
                  <pic:spPr>
                    <a:xfrm>
                      <a:off x="0" y="0"/>
                      <a:ext cx="2457450" cy="1695450"/>
                    </a:xfrm>
                    <a:prstGeom prst="rect">
                      <a:avLst/>
                    </a:prstGeom>
                    <a:noFill/>
                    <a:ln w="9525">
                      <a:noFill/>
                      <a:miter lim="800000"/>
                      <a:headEnd/>
                      <a:tailEnd/>
                    </a:ln>
                  </pic:spPr>
                </pic:pic>
              </a:graphicData>
            </a:graphic>
          </wp:inline>
        </w:drawing>
      </w:r>
    </w:p>
    <w:p>
      <w:pPr>
        <w:widowControl/>
        <w:spacing w:line="360" w:lineRule="auto"/>
        <w:ind w:firstLine="482"/>
        <w:rPr>
          <w:rFonts w:ascii="Times New Roman" w:hAnsi="Times New Roman" w:eastAsia="宋体" w:cs="Times New Roman"/>
          <w:szCs w:val="21"/>
        </w:rPr>
      </w:pPr>
      <w:r>
        <w:rPr>
          <w:rFonts w:ascii="Times New Roman" w:hAnsi="Times New Roman" w:eastAsia="宋体" w:cs="Times New Roman"/>
          <w:szCs w:val="21"/>
        </w:rPr>
        <w:t xml:space="preserve">      图5-</w:t>
      </w:r>
      <w:r>
        <w:rPr>
          <w:rFonts w:hint="eastAsia" w:ascii="Times New Roman" w:hAnsi="Times New Roman" w:eastAsia="宋体" w:cs="Times New Roman"/>
          <w:szCs w:val="21"/>
          <w:lang w:val="en-US" w:eastAsia="zh-CN"/>
        </w:rPr>
        <w:t>6</w:t>
      </w:r>
      <w:r>
        <w:rPr>
          <w:rFonts w:ascii="Times New Roman" w:hAnsi="Times New Roman" w:eastAsia="宋体" w:cs="Times New Roman"/>
          <w:szCs w:val="21"/>
        </w:rPr>
        <w:t xml:space="preserve">  BluBus外景                图5-</w:t>
      </w:r>
      <w:r>
        <w:rPr>
          <w:rFonts w:hint="eastAsia" w:ascii="Times New Roman" w:hAnsi="Times New Roman" w:eastAsia="宋体" w:cs="Times New Roman"/>
          <w:szCs w:val="21"/>
          <w:lang w:val="en-US" w:eastAsia="zh-CN"/>
        </w:rPr>
        <w:t>7</w:t>
      </w:r>
      <w:r>
        <w:rPr>
          <w:rFonts w:ascii="Times New Roman" w:hAnsi="Times New Roman" w:eastAsia="宋体" w:cs="Times New Roman"/>
          <w:szCs w:val="21"/>
        </w:rPr>
        <w:t xml:space="preserve">  BluBus的内部视图</w:t>
      </w:r>
    </w:p>
    <w:p>
      <w:pPr>
        <w:widowControl/>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主要仪器为EMF测量设备，如PMM8053便携式EMF现场测量仪、带有远程控制中心的EMF监测站以及用于窄带测量的频谱分析仪和双锥天线。当BluBus停在一个地方时，就在其前面放置一个现场监测站，以实现快速、实时的示范性监测活动，现场收集的数据可以立即显示给访问者。技术员解释结果的含义和公民问题的答案。除此之外所有参观者都可以获得有关FUB活动和项目信息、EMF健康影响的信息和论文以及全国监测活动结果。为了覆盖全国各地区和人数，意大利政府还引进了两台配备PMM8053宽带EMF便携式仪表和自主控制中心的城市车辆BluShuttle。</w:t>
      </w:r>
    </w:p>
    <w:p>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3150235" cy="2153285"/>
            <wp:effectExtent l="19050" t="0" r="0" b="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noChangeArrowheads="1"/>
                    </pic:cNvPicPr>
                  </pic:nvPicPr>
                  <pic:blipFill>
                    <a:blip r:embed="rId14" cstate="print"/>
                    <a:srcRect b="3561"/>
                    <a:stretch>
                      <a:fillRect/>
                    </a:stretch>
                  </pic:blipFill>
                  <pic:spPr>
                    <a:xfrm>
                      <a:off x="0" y="0"/>
                      <a:ext cx="3150560" cy="2153330"/>
                    </a:xfrm>
                    <a:prstGeom prst="rect">
                      <a:avLst/>
                    </a:prstGeom>
                    <a:noFill/>
                    <a:ln w="9525">
                      <a:noFill/>
                      <a:miter lim="800000"/>
                      <a:headEnd/>
                      <a:tailEnd/>
                    </a:ln>
                  </pic:spPr>
                </pic:pic>
              </a:graphicData>
            </a:graphic>
          </wp:inline>
        </w:drawing>
      </w:r>
    </w:p>
    <w:p>
      <w:pPr>
        <w:widowControl/>
        <w:spacing w:line="360" w:lineRule="auto"/>
        <w:ind w:firstLine="482"/>
        <w:jc w:val="center"/>
        <w:rPr>
          <w:rFonts w:ascii="Times New Roman" w:hAnsi="Times New Roman" w:eastAsia="宋体" w:cs="Times New Roman"/>
          <w:szCs w:val="21"/>
        </w:rPr>
      </w:pPr>
      <w:r>
        <w:rPr>
          <w:rFonts w:ascii="Times New Roman" w:hAnsi="Times New Roman" w:eastAsia="宋体" w:cs="Times New Roman"/>
          <w:szCs w:val="21"/>
        </w:rPr>
        <w:t>图5-</w:t>
      </w:r>
      <w:r>
        <w:rPr>
          <w:rFonts w:hint="eastAsia" w:ascii="Times New Roman" w:hAnsi="Times New Roman" w:eastAsia="宋体" w:cs="Times New Roman"/>
          <w:szCs w:val="21"/>
          <w:lang w:val="en-US" w:eastAsia="zh-CN"/>
        </w:rPr>
        <w:t>8</w:t>
      </w:r>
      <w:r>
        <w:rPr>
          <w:rFonts w:ascii="Times New Roman" w:hAnsi="Times New Roman" w:eastAsia="宋体" w:cs="Times New Roman"/>
          <w:szCs w:val="21"/>
        </w:rPr>
        <w:t xml:space="preserve"> 城市车辆BluShuttle</w:t>
      </w:r>
    </w:p>
    <w:p>
      <w:pPr>
        <w:spacing w:line="360" w:lineRule="auto"/>
        <w:ind w:firstLine="420"/>
        <w:rPr>
          <w:rFonts w:ascii="Times New Roman" w:hAnsi="Times New Roman" w:eastAsia="宋体" w:cs="Times New Roman"/>
          <w:szCs w:val="21"/>
        </w:rPr>
      </w:pPr>
      <w:r>
        <w:rPr>
          <w:rFonts w:ascii="Times New Roman" w:hAnsi="Times New Roman" w:eastAsia="宋体" w:cs="Times New Roman"/>
          <w:szCs w:val="21"/>
        </w:rPr>
        <w:t>BluShuttles可以到达BluBus很难驾驶到的地方。BluShuttle的车辆可以在一个城市内从一个地方移动到另一个地方，并且在每个点上执行短暂的监控活动（持续时间不超过半小时）。在每项措施结束时，安装在控制中心的软件会生成一份报告表，其中包含一般位置数据（地址、当前电磁场源、GPS坐标），场地和源的照片图像，测量的平均EMF水平，以及在测量半小时内具有电磁场水平的图表，这份文件可以实时打印和分发给参观者。</w:t>
      </w:r>
    </w:p>
    <w:p>
      <w:pPr>
        <w:keepNext w:val="0"/>
        <w:keepLines w:val="0"/>
        <w:pageBreakBefore w:val="0"/>
        <w:kinsoku/>
        <w:wordWrap/>
        <w:overflowPunct/>
        <w:topLinePunct w:val="0"/>
        <w:autoSpaceDE/>
        <w:autoSpaceDN/>
        <w:bidi w:val="0"/>
        <w:adjustRightInd/>
        <w:snapToGrid/>
        <w:spacing w:line="240" w:lineRule="auto"/>
        <w:jc w:val="center"/>
        <w:textAlignment w:val="auto"/>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3027680" cy="406146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5" cstate="print"/>
                    <a:srcRect l="6384" t="2470"/>
                    <a:stretch>
                      <a:fillRect/>
                    </a:stretch>
                  </pic:blipFill>
                  <pic:spPr>
                    <a:xfrm>
                      <a:off x="0" y="0"/>
                      <a:ext cx="3027680" cy="4061460"/>
                    </a:xfrm>
                    <a:prstGeom prst="rect">
                      <a:avLst/>
                    </a:prstGeom>
                    <a:noFill/>
                    <a:ln w="9525">
                      <a:noFill/>
                      <a:miter lim="800000"/>
                      <a:headEnd/>
                      <a:tailEnd/>
                    </a:ln>
                  </pic:spPr>
                </pic:pic>
              </a:graphicData>
            </a:graphic>
          </wp:inline>
        </w:drawing>
      </w:r>
    </w:p>
    <w:p>
      <w:pPr>
        <w:keepNext w:val="0"/>
        <w:keepLines w:val="0"/>
        <w:pageBreakBefore w:val="0"/>
        <w:widowControl/>
        <w:kinsoku/>
        <w:wordWrap/>
        <w:overflowPunct/>
        <w:topLinePunct w:val="0"/>
        <w:autoSpaceDE/>
        <w:autoSpaceDN/>
        <w:bidi w:val="0"/>
        <w:adjustRightInd/>
        <w:snapToGrid/>
        <w:spacing w:line="240" w:lineRule="auto"/>
        <w:ind w:firstLine="482"/>
        <w:jc w:val="center"/>
        <w:textAlignment w:val="auto"/>
        <w:rPr>
          <w:rFonts w:ascii="Times New Roman" w:hAnsi="Times New Roman" w:eastAsia="宋体" w:cs="Times New Roman"/>
          <w:szCs w:val="21"/>
        </w:rPr>
      </w:pPr>
      <w:r>
        <w:rPr>
          <w:rFonts w:ascii="Times New Roman" w:hAnsi="Times New Roman" w:eastAsia="宋体" w:cs="Times New Roman"/>
          <w:szCs w:val="21"/>
        </w:rPr>
        <w:t>图5-</w:t>
      </w:r>
      <w:r>
        <w:rPr>
          <w:rFonts w:hint="eastAsia" w:ascii="Times New Roman" w:hAnsi="Times New Roman" w:eastAsia="宋体" w:cs="Times New Roman"/>
          <w:szCs w:val="21"/>
          <w:lang w:val="en-US" w:eastAsia="zh-CN"/>
        </w:rPr>
        <w:t>9</w:t>
      </w:r>
      <w:r>
        <w:rPr>
          <w:rFonts w:ascii="Times New Roman" w:hAnsi="Times New Roman" w:eastAsia="宋体" w:cs="Times New Roman"/>
          <w:szCs w:val="21"/>
        </w:rPr>
        <w:t xml:space="preserve">  报告表</w:t>
      </w:r>
    </w:p>
    <w:p>
      <w:pPr>
        <w:pStyle w:val="2"/>
        <w:rPr>
          <w:rFonts w:ascii="黑体" w:hAnsi="黑体" w:eastAsia="黑体"/>
          <w:b w:val="0"/>
          <w:sz w:val="28"/>
          <w:szCs w:val="28"/>
        </w:rPr>
      </w:pPr>
      <w:bookmarkStart w:id="42" w:name="_Toc5255"/>
      <w:bookmarkStart w:id="43" w:name="_Toc30508"/>
      <w:r>
        <w:rPr>
          <w:rFonts w:hint="eastAsia" w:ascii="黑体" w:hAnsi="黑体" w:eastAsia="黑体"/>
          <w:b w:val="0"/>
          <w:sz w:val="28"/>
          <w:szCs w:val="28"/>
        </w:rPr>
        <w:t>6  主要试验（或验证）的分析报告、相关技术和经济影响论证</w:t>
      </w:r>
      <w:bookmarkEnd w:id="42"/>
      <w:bookmarkEnd w:id="43"/>
    </w:p>
    <w:p>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rPr>
        <w:t>本标准为电磁辐射环境自动监测技术规范，内容不涉及限量、成分要求等量化规定，不属于</w:t>
      </w:r>
      <w:r>
        <w:rPr>
          <w:rFonts w:ascii="Times New Roman" w:hAnsi="Times New Roman" w:eastAsia="宋体" w:cs="Times New Roman"/>
          <w:szCs w:val="21"/>
        </w:rPr>
        <w:t>《标准编写规则 第4部分：试验方法标准》（GB/T 20001.4-2015）</w:t>
      </w:r>
      <w:r>
        <w:rPr>
          <w:rFonts w:hint="eastAsia" w:ascii="Times New Roman" w:hAnsi="Times New Roman" w:eastAsia="宋体" w:cs="Times New Roman"/>
          <w:szCs w:val="21"/>
        </w:rPr>
        <w:t>规定</w:t>
      </w:r>
      <w:r>
        <w:rPr>
          <w:rFonts w:ascii="Times New Roman" w:hAnsi="Times New Roman" w:eastAsia="宋体" w:cs="Times New Roman"/>
          <w:szCs w:val="21"/>
        </w:rPr>
        <w:t>的范围，无试验（或验证）的分析报告。</w:t>
      </w:r>
    </w:p>
    <w:p>
      <w:pPr>
        <w:pStyle w:val="2"/>
        <w:rPr>
          <w:rFonts w:ascii="黑体" w:hAnsi="黑体" w:eastAsia="黑体"/>
          <w:b w:val="0"/>
          <w:sz w:val="28"/>
          <w:szCs w:val="28"/>
        </w:rPr>
      </w:pPr>
      <w:bookmarkStart w:id="44" w:name="_Toc11375"/>
      <w:bookmarkStart w:id="45" w:name="_Toc18229"/>
      <w:r>
        <w:rPr>
          <w:rFonts w:hint="eastAsia" w:ascii="黑体" w:hAnsi="黑体" w:eastAsia="黑体"/>
          <w:b w:val="0"/>
          <w:sz w:val="28"/>
          <w:szCs w:val="28"/>
        </w:rPr>
        <w:t>7  重大意见分歧的处理依据和结果</w:t>
      </w:r>
      <w:bookmarkEnd w:id="44"/>
      <w:bookmarkEnd w:id="45"/>
    </w:p>
    <w:p>
      <w:pPr>
        <w:spacing w:line="360" w:lineRule="auto"/>
        <w:rPr>
          <w:rFonts w:ascii="宋体" w:hAnsi="宋体" w:eastAsia="宋体" w:cs="Times New Roman"/>
        </w:rPr>
      </w:pPr>
      <w:r>
        <w:rPr>
          <w:rFonts w:ascii="宋体" w:hAnsi="宋体" w:eastAsia="宋体" w:cs="Times New Roman"/>
        </w:rPr>
        <w:t>无</w:t>
      </w:r>
    </w:p>
    <w:p>
      <w:pPr>
        <w:pStyle w:val="2"/>
        <w:rPr>
          <w:rFonts w:ascii="黑体" w:hAnsi="黑体" w:eastAsia="黑体"/>
          <w:b w:val="0"/>
          <w:sz w:val="28"/>
          <w:szCs w:val="28"/>
        </w:rPr>
      </w:pPr>
      <w:bookmarkStart w:id="46" w:name="_Toc5393"/>
      <w:bookmarkStart w:id="47" w:name="_Toc2242"/>
      <w:r>
        <w:rPr>
          <w:rFonts w:hint="eastAsia" w:ascii="黑体" w:hAnsi="黑体" w:eastAsia="黑体"/>
          <w:b w:val="0"/>
          <w:sz w:val="28"/>
          <w:szCs w:val="28"/>
        </w:rPr>
        <w:t>8  预期的社会经济效益</w:t>
      </w:r>
      <w:bookmarkEnd w:id="46"/>
      <w:bookmarkEnd w:id="47"/>
    </w:p>
    <w:p>
      <w:pPr>
        <w:spacing w:line="360" w:lineRule="auto"/>
        <w:ind w:firstLine="447" w:firstLineChars="213"/>
        <w:rPr>
          <w:rFonts w:ascii="Times New Roman" w:hAnsi="Times New Roman" w:eastAsia="宋体" w:cs="Times New Roman"/>
          <w:szCs w:val="21"/>
        </w:rPr>
      </w:pPr>
      <w:r>
        <w:rPr>
          <w:rFonts w:ascii="Times New Roman" w:hAnsi="Times New Roman" w:eastAsia="宋体" w:cs="Times New Roman"/>
          <w:szCs w:val="21"/>
        </w:rPr>
        <w:t>本标准实施后，将进一步提升省内各类生态环境监测机构和有关单位电磁辐射环境自动监测活动的规范化有序化水平，提高电磁辐射环境自动监测预报预警技术能力，科学化解我省</w:t>
      </w:r>
      <w:r>
        <w:rPr>
          <w:rFonts w:hint="eastAsia" w:ascii="Times New Roman" w:hAnsi="Times New Roman" w:eastAsia="宋体" w:cs="Times New Roman"/>
          <w:szCs w:val="21"/>
          <w:lang w:eastAsia="zh-CN"/>
        </w:rPr>
        <w:t>“</w:t>
      </w:r>
      <w:r>
        <w:rPr>
          <w:rFonts w:ascii="Times New Roman" w:hAnsi="Times New Roman" w:eastAsia="宋体" w:cs="Times New Roman"/>
          <w:szCs w:val="21"/>
        </w:rPr>
        <w:t>新基建</w:t>
      </w:r>
      <w:r>
        <w:rPr>
          <w:rFonts w:hint="eastAsia" w:ascii="Times New Roman" w:hAnsi="Times New Roman" w:eastAsia="宋体" w:cs="Times New Roman"/>
          <w:szCs w:val="21"/>
          <w:lang w:eastAsia="zh-CN"/>
        </w:rPr>
        <w:t>”</w:t>
      </w:r>
      <w:r>
        <w:rPr>
          <w:rFonts w:ascii="Times New Roman" w:hAnsi="Times New Roman" w:eastAsia="宋体" w:cs="Times New Roman"/>
          <w:szCs w:val="21"/>
        </w:rPr>
        <w:t>项目建设与运营所产生的信访投诉，完善电磁辐射生态环境全要素态势感知，推动电磁辐射环境监测领域治理体系和治理能力现代化深度融合。</w:t>
      </w:r>
    </w:p>
    <w:p>
      <w:pPr>
        <w:pStyle w:val="2"/>
        <w:rPr>
          <w:rFonts w:ascii="黑体" w:hAnsi="黑体" w:eastAsia="黑体"/>
          <w:b w:val="0"/>
          <w:sz w:val="28"/>
          <w:szCs w:val="28"/>
        </w:rPr>
      </w:pPr>
      <w:bookmarkStart w:id="48" w:name="_Toc20173"/>
      <w:bookmarkStart w:id="49" w:name="_Toc853"/>
      <w:r>
        <w:rPr>
          <w:rFonts w:hint="eastAsia" w:ascii="黑体" w:hAnsi="黑体" w:eastAsia="黑体"/>
          <w:b w:val="0"/>
          <w:sz w:val="28"/>
          <w:szCs w:val="28"/>
        </w:rPr>
        <w:t>9  强制性标准实施的风险评估</w:t>
      </w:r>
      <w:bookmarkEnd w:id="48"/>
      <w:bookmarkEnd w:id="49"/>
    </w:p>
    <w:p>
      <w:r>
        <w:rPr>
          <w:rFonts w:hint="eastAsia"/>
        </w:rPr>
        <w:t>无</w:t>
      </w:r>
    </w:p>
    <w:p>
      <w:pPr>
        <w:pStyle w:val="2"/>
        <w:rPr>
          <w:rFonts w:ascii="黑体" w:hAnsi="黑体" w:eastAsia="黑体"/>
          <w:b w:val="0"/>
          <w:sz w:val="28"/>
          <w:szCs w:val="28"/>
        </w:rPr>
      </w:pPr>
      <w:bookmarkStart w:id="50" w:name="_Toc30879"/>
      <w:bookmarkStart w:id="51" w:name="_Toc6493"/>
      <w:r>
        <w:rPr>
          <w:rFonts w:hint="eastAsia" w:ascii="黑体" w:hAnsi="黑体" w:eastAsia="黑体"/>
          <w:b w:val="0"/>
          <w:sz w:val="28"/>
          <w:szCs w:val="28"/>
        </w:rPr>
        <w:t>10  其他应当说明的事项</w:t>
      </w:r>
      <w:bookmarkEnd w:id="50"/>
      <w:bookmarkEnd w:id="51"/>
    </w:p>
    <w:p>
      <w:r>
        <w:t>无</w:t>
      </w:r>
    </w:p>
    <w:p>
      <w:pPr>
        <w:spacing w:line="360" w:lineRule="auto"/>
        <w:rPr>
          <w:rFonts w:ascii="黑体" w:hAnsi="黑体" w:eastAsia="黑体"/>
          <w:sz w:val="28"/>
          <w:szCs w:val="28"/>
        </w:rPr>
      </w:pPr>
    </w:p>
    <w:p>
      <w:pPr>
        <w:spacing w:line="360" w:lineRule="auto"/>
        <w:rPr>
          <w:rFonts w:ascii="宋体" w:hAnsi="宋体" w:eastAsia="宋体" w:cs="Times New Roman"/>
        </w:rPr>
      </w:pPr>
    </w:p>
    <w:sectPr>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_GB2312">
    <w:altName w:val="楷体"/>
    <w:panose1 w:val="02010609030101010101"/>
    <w:charset w:val="86"/>
    <w:family w:val="modern"/>
    <w:pitch w:val="default"/>
    <w:sig w:usb0="00000000" w:usb1="0000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right"/>
    </w:pPr>
  </w:p>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27242797"/>
      <w:showingPlcHdr/>
    </w:sdtPr>
    <w:sdtContent>
      <w:p>
        <w:pPr>
          <w:pStyle w:val="9"/>
          <w:jc w:val="right"/>
        </w:pPr>
      </w:p>
    </w:sdtContent>
  </w:sdt>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right"/>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p>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27"/>
      <w:suff w:val="nothing"/>
      <w:lvlText w:val="%1　"/>
      <w:lvlJc w:val="left"/>
      <w:pPr>
        <w:ind w:left="0" w:firstLine="0"/>
      </w:pPr>
      <w:rPr>
        <w:rFonts w:hint="default" w:ascii="Times New Roman" w:hAnsi="Times New Roman" w:eastAsia="黑体" w:cs="Times New Roman"/>
        <w:b w:val="0"/>
        <w:i w:val="0"/>
        <w:sz w:val="21"/>
        <w:szCs w:val="21"/>
      </w:rPr>
    </w:lvl>
    <w:lvl w:ilvl="1" w:tentative="0">
      <w:start w:val="1"/>
      <w:numFmt w:val="decimal"/>
      <w:pStyle w:val="26"/>
      <w:suff w:val="nothing"/>
      <w:lvlText w:val="%1.%2　"/>
      <w:lvlJc w:val="left"/>
      <w:pPr>
        <w:ind w:left="284" w:firstLine="0"/>
      </w:pPr>
      <w:rPr>
        <w:rFonts w:hint="default" w:ascii="Times New Roman"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8"/>
      <w:suff w:val="nothing"/>
      <w:lvlText w:val="%1.%2.%3　"/>
      <w:lvlJc w:val="left"/>
      <w:pPr>
        <w:ind w:left="567" w:firstLine="0"/>
      </w:pPr>
      <w:rPr>
        <w:rFonts w:hint="default" w:ascii="Times New Roman" w:hAnsi="Times New Roman" w:eastAsia="黑体" w:cs="Times New Roman"/>
        <w:b w:val="0"/>
        <w:i w:val="0"/>
        <w:sz w:val="21"/>
      </w:rPr>
    </w:lvl>
    <w:lvl w:ilvl="3" w:tentative="0">
      <w:start w:val="1"/>
      <w:numFmt w:val="decimal"/>
      <w:pStyle w:val="29"/>
      <w:suff w:val="nothing"/>
      <w:lvlText w:val="%1.%2.%3.%4　"/>
      <w:lvlJc w:val="left"/>
      <w:pPr>
        <w:ind w:left="0" w:firstLine="0"/>
      </w:pPr>
      <w:rPr>
        <w:rFonts w:hint="eastAsia" w:ascii="黑体" w:hAnsi="Times New Roman" w:eastAsia="黑体"/>
        <w:b w:val="0"/>
        <w:i w:val="0"/>
        <w:sz w:val="21"/>
      </w:rPr>
    </w:lvl>
    <w:lvl w:ilvl="4" w:tentative="0">
      <w:start w:val="1"/>
      <w:numFmt w:val="decimal"/>
      <w:pStyle w:val="30"/>
      <w:suff w:val="nothing"/>
      <w:lvlText w:val="%1.%2.%3.%4.%5　"/>
      <w:lvlJc w:val="left"/>
      <w:pPr>
        <w:ind w:left="0" w:firstLine="0"/>
      </w:pPr>
      <w:rPr>
        <w:rFonts w:hint="eastAsia" w:ascii="黑体" w:hAnsi="Times New Roman" w:eastAsia="黑体"/>
        <w:b w:val="0"/>
        <w:i w:val="0"/>
        <w:sz w:val="21"/>
      </w:rPr>
    </w:lvl>
    <w:lvl w:ilvl="5" w:tentative="0">
      <w:start w:val="1"/>
      <w:numFmt w:val="decimal"/>
      <w:pStyle w:val="31"/>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646260FA"/>
    <w:multiLevelType w:val="multilevel"/>
    <w:tmpl w:val="646260FA"/>
    <w:lvl w:ilvl="0" w:tentative="0">
      <w:start w:val="1"/>
      <w:numFmt w:val="decimal"/>
      <w:pStyle w:val="34"/>
      <w:suff w:val="nothing"/>
      <w:lvlText w:val="表%1　"/>
      <w:lvlJc w:val="left"/>
      <w:pPr>
        <w:ind w:left="2694" w:firstLine="0"/>
      </w:pPr>
      <w:rPr>
        <w:rFonts w:hint="eastAsia" w:ascii="黑体" w:hAnsi="Times New Roman" w:eastAsia="黑体"/>
        <w:b w:val="0"/>
        <w:i w:val="0"/>
        <w:sz w:val="21"/>
      </w:rPr>
    </w:lvl>
    <w:lvl w:ilvl="1" w:tentative="0">
      <w:start w:val="1"/>
      <w:numFmt w:val="decimal"/>
      <w:lvlText w:val="%1.%2"/>
      <w:lvlJc w:val="left"/>
      <w:pPr>
        <w:tabs>
          <w:tab w:val="left" w:pos="3686"/>
        </w:tabs>
        <w:ind w:left="3686" w:hanging="567"/>
      </w:pPr>
      <w:rPr>
        <w:rFonts w:hint="eastAsia"/>
      </w:rPr>
    </w:lvl>
    <w:lvl w:ilvl="2" w:tentative="0">
      <w:start w:val="1"/>
      <w:numFmt w:val="decimal"/>
      <w:lvlText w:val="%1.%2.%3"/>
      <w:lvlJc w:val="left"/>
      <w:pPr>
        <w:tabs>
          <w:tab w:val="left" w:pos="4112"/>
        </w:tabs>
        <w:ind w:left="4112" w:hanging="567"/>
      </w:pPr>
      <w:rPr>
        <w:rFonts w:hint="eastAsia"/>
      </w:rPr>
    </w:lvl>
    <w:lvl w:ilvl="3" w:tentative="0">
      <w:start w:val="1"/>
      <w:numFmt w:val="decimal"/>
      <w:lvlText w:val="%1.%2.%3.%4"/>
      <w:lvlJc w:val="left"/>
      <w:pPr>
        <w:tabs>
          <w:tab w:val="left" w:pos="4678"/>
        </w:tabs>
        <w:ind w:left="4678" w:hanging="708"/>
      </w:pPr>
      <w:rPr>
        <w:rFonts w:hint="eastAsia"/>
      </w:rPr>
    </w:lvl>
    <w:lvl w:ilvl="4" w:tentative="0">
      <w:start w:val="1"/>
      <w:numFmt w:val="decimal"/>
      <w:lvlText w:val="%1.%2.%3.%4.%5"/>
      <w:lvlJc w:val="left"/>
      <w:pPr>
        <w:tabs>
          <w:tab w:val="left" w:pos="5245"/>
        </w:tabs>
        <w:ind w:left="5245" w:hanging="850"/>
      </w:pPr>
      <w:rPr>
        <w:rFonts w:hint="eastAsia"/>
      </w:rPr>
    </w:lvl>
    <w:lvl w:ilvl="5" w:tentative="0">
      <w:start w:val="1"/>
      <w:numFmt w:val="decimal"/>
      <w:lvlText w:val="%1.%2.%3.%4.%5.%6"/>
      <w:lvlJc w:val="left"/>
      <w:pPr>
        <w:tabs>
          <w:tab w:val="left" w:pos="5954"/>
        </w:tabs>
        <w:ind w:left="5954" w:hanging="1134"/>
      </w:pPr>
      <w:rPr>
        <w:rFonts w:hint="eastAsia"/>
      </w:rPr>
    </w:lvl>
    <w:lvl w:ilvl="6" w:tentative="0">
      <w:start w:val="1"/>
      <w:numFmt w:val="decimal"/>
      <w:lvlText w:val="%1.%2.%3.%4.%5.%6.%7"/>
      <w:lvlJc w:val="left"/>
      <w:pPr>
        <w:tabs>
          <w:tab w:val="left" w:pos="6521"/>
        </w:tabs>
        <w:ind w:left="6521" w:hanging="1276"/>
      </w:pPr>
      <w:rPr>
        <w:rFonts w:hint="eastAsia"/>
      </w:rPr>
    </w:lvl>
    <w:lvl w:ilvl="7" w:tentative="0">
      <w:start w:val="1"/>
      <w:numFmt w:val="decimal"/>
      <w:lvlText w:val="%1.%2.%3.%4.%5.%6.%7.%8"/>
      <w:lvlJc w:val="left"/>
      <w:pPr>
        <w:tabs>
          <w:tab w:val="left" w:pos="7088"/>
        </w:tabs>
        <w:ind w:left="7088" w:hanging="1418"/>
      </w:pPr>
      <w:rPr>
        <w:rFonts w:hint="eastAsia"/>
      </w:rPr>
    </w:lvl>
    <w:lvl w:ilvl="8" w:tentative="0">
      <w:start w:val="1"/>
      <w:numFmt w:val="decimal"/>
      <w:lvlText w:val="%1.%2.%3.%4.%5.%6.%7.%8.%9"/>
      <w:lvlJc w:val="left"/>
      <w:pPr>
        <w:tabs>
          <w:tab w:val="left" w:pos="7796"/>
        </w:tabs>
        <w:ind w:left="7796" w:hanging="1700"/>
      </w:pPr>
      <w:rPr>
        <w:rFonts w:hint="eastAsia"/>
      </w:rPr>
    </w:lvl>
  </w:abstractNum>
  <w:abstractNum w:abstractNumId="2">
    <w:nsid w:val="6DBF04F4"/>
    <w:multiLevelType w:val="multilevel"/>
    <w:tmpl w:val="6DBF04F4"/>
    <w:lvl w:ilvl="0" w:tentative="0">
      <w:start w:val="1"/>
      <w:numFmt w:val="none"/>
      <w:pStyle w:val="32"/>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EwZGNmMGE2ZWVmMjVmNWY1YjhiNjBjMTE1MjQyZTIifQ=="/>
  </w:docVars>
  <w:rsids>
    <w:rsidRoot w:val="004A10EE"/>
    <w:rsid w:val="00011E52"/>
    <w:rsid w:val="0001311A"/>
    <w:rsid w:val="00014605"/>
    <w:rsid w:val="00015653"/>
    <w:rsid w:val="00015D9C"/>
    <w:rsid w:val="0001628A"/>
    <w:rsid w:val="000178C3"/>
    <w:rsid w:val="000266F7"/>
    <w:rsid w:val="00031D61"/>
    <w:rsid w:val="000445AA"/>
    <w:rsid w:val="0005627C"/>
    <w:rsid w:val="00063BD6"/>
    <w:rsid w:val="00067DDE"/>
    <w:rsid w:val="00071AFC"/>
    <w:rsid w:val="00072DBB"/>
    <w:rsid w:val="000762A4"/>
    <w:rsid w:val="0008034A"/>
    <w:rsid w:val="0008171A"/>
    <w:rsid w:val="000833F5"/>
    <w:rsid w:val="0008601F"/>
    <w:rsid w:val="00097681"/>
    <w:rsid w:val="000A485F"/>
    <w:rsid w:val="000A4AF1"/>
    <w:rsid w:val="000A72D9"/>
    <w:rsid w:val="000B14F0"/>
    <w:rsid w:val="000B5D22"/>
    <w:rsid w:val="000B6E25"/>
    <w:rsid w:val="000C29D9"/>
    <w:rsid w:val="000D080B"/>
    <w:rsid w:val="000D2954"/>
    <w:rsid w:val="000D3A58"/>
    <w:rsid w:val="000D5B22"/>
    <w:rsid w:val="000D7BCA"/>
    <w:rsid w:val="000F48AC"/>
    <w:rsid w:val="000F65EF"/>
    <w:rsid w:val="000F714B"/>
    <w:rsid w:val="001031FC"/>
    <w:rsid w:val="00103331"/>
    <w:rsid w:val="00115D2D"/>
    <w:rsid w:val="00121E16"/>
    <w:rsid w:val="00124C32"/>
    <w:rsid w:val="001264CA"/>
    <w:rsid w:val="00127E81"/>
    <w:rsid w:val="001360A5"/>
    <w:rsid w:val="001378DE"/>
    <w:rsid w:val="00153B12"/>
    <w:rsid w:val="001541F5"/>
    <w:rsid w:val="001549BD"/>
    <w:rsid w:val="00156210"/>
    <w:rsid w:val="001652F1"/>
    <w:rsid w:val="001712D9"/>
    <w:rsid w:val="001775C4"/>
    <w:rsid w:val="00183D8C"/>
    <w:rsid w:val="00184AD3"/>
    <w:rsid w:val="001866A9"/>
    <w:rsid w:val="00192FC2"/>
    <w:rsid w:val="001A3ED6"/>
    <w:rsid w:val="001A51C3"/>
    <w:rsid w:val="001A5CF1"/>
    <w:rsid w:val="001B3DB2"/>
    <w:rsid w:val="001B7BE8"/>
    <w:rsid w:val="001C3F2A"/>
    <w:rsid w:val="001C7A0D"/>
    <w:rsid w:val="001D0DE7"/>
    <w:rsid w:val="001E171A"/>
    <w:rsid w:val="001E5CC8"/>
    <w:rsid w:val="001F5370"/>
    <w:rsid w:val="00200292"/>
    <w:rsid w:val="0020150F"/>
    <w:rsid w:val="00204BDE"/>
    <w:rsid w:val="0020526E"/>
    <w:rsid w:val="00207F63"/>
    <w:rsid w:val="002107E7"/>
    <w:rsid w:val="00213281"/>
    <w:rsid w:val="002145E1"/>
    <w:rsid w:val="00217FC3"/>
    <w:rsid w:val="00223700"/>
    <w:rsid w:val="0023130C"/>
    <w:rsid w:val="00231D78"/>
    <w:rsid w:val="00237C05"/>
    <w:rsid w:val="002414B1"/>
    <w:rsid w:val="00241AFA"/>
    <w:rsid w:val="0024658B"/>
    <w:rsid w:val="002500E8"/>
    <w:rsid w:val="002537D6"/>
    <w:rsid w:val="00257ADD"/>
    <w:rsid w:val="002729F9"/>
    <w:rsid w:val="00273FA5"/>
    <w:rsid w:val="00274AE3"/>
    <w:rsid w:val="002811BA"/>
    <w:rsid w:val="00281630"/>
    <w:rsid w:val="002840BF"/>
    <w:rsid w:val="00286330"/>
    <w:rsid w:val="002A4449"/>
    <w:rsid w:val="002B02C3"/>
    <w:rsid w:val="002B1800"/>
    <w:rsid w:val="002B66F5"/>
    <w:rsid w:val="002C4669"/>
    <w:rsid w:val="002C5DB4"/>
    <w:rsid w:val="002C7699"/>
    <w:rsid w:val="002D08E0"/>
    <w:rsid w:val="002D2482"/>
    <w:rsid w:val="002D69C8"/>
    <w:rsid w:val="002D7CD2"/>
    <w:rsid w:val="002E1368"/>
    <w:rsid w:val="002E2C91"/>
    <w:rsid w:val="002E7F1F"/>
    <w:rsid w:val="002F5678"/>
    <w:rsid w:val="00301B36"/>
    <w:rsid w:val="00304341"/>
    <w:rsid w:val="00306C6E"/>
    <w:rsid w:val="00321B20"/>
    <w:rsid w:val="0032281F"/>
    <w:rsid w:val="00326B5F"/>
    <w:rsid w:val="003333BC"/>
    <w:rsid w:val="003407D7"/>
    <w:rsid w:val="0036041A"/>
    <w:rsid w:val="00362ABD"/>
    <w:rsid w:val="00366E4B"/>
    <w:rsid w:val="00385C7D"/>
    <w:rsid w:val="0039156D"/>
    <w:rsid w:val="00391DD8"/>
    <w:rsid w:val="003925AF"/>
    <w:rsid w:val="00397CAF"/>
    <w:rsid w:val="003A28FA"/>
    <w:rsid w:val="003A2BA2"/>
    <w:rsid w:val="003B19A4"/>
    <w:rsid w:val="003B474C"/>
    <w:rsid w:val="003B57EE"/>
    <w:rsid w:val="003B7972"/>
    <w:rsid w:val="003C18D1"/>
    <w:rsid w:val="003C3A3E"/>
    <w:rsid w:val="003C3E57"/>
    <w:rsid w:val="003C5BDD"/>
    <w:rsid w:val="003D3A7A"/>
    <w:rsid w:val="003D7F09"/>
    <w:rsid w:val="003E3861"/>
    <w:rsid w:val="003E3970"/>
    <w:rsid w:val="003E471B"/>
    <w:rsid w:val="003F11C3"/>
    <w:rsid w:val="003F57E8"/>
    <w:rsid w:val="00402192"/>
    <w:rsid w:val="00403047"/>
    <w:rsid w:val="00403FF4"/>
    <w:rsid w:val="00414862"/>
    <w:rsid w:val="004205FC"/>
    <w:rsid w:val="00422A22"/>
    <w:rsid w:val="00425201"/>
    <w:rsid w:val="00426488"/>
    <w:rsid w:val="00426918"/>
    <w:rsid w:val="00427BC0"/>
    <w:rsid w:val="0043256F"/>
    <w:rsid w:val="004414DC"/>
    <w:rsid w:val="0046481E"/>
    <w:rsid w:val="0046506E"/>
    <w:rsid w:val="00467516"/>
    <w:rsid w:val="00470921"/>
    <w:rsid w:val="00491CB6"/>
    <w:rsid w:val="004A10EE"/>
    <w:rsid w:val="004A3DF4"/>
    <w:rsid w:val="004A5C3F"/>
    <w:rsid w:val="004B360A"/>
    <w:rsid w:val="004B4F23"/>
    <w:rsid w:val="004B6AD6"/>
    <w:rsid w:val="004C564A"/>
    <w:rsid w:val="004C69EB"/>
    <w:rsid w:val="004C7343"/>
    <w:rsid w:val="004F1171"/>
    <w:rsid w:val="004F35B3"/>
    <w:rsid w:val="00507A40"/>
    <w:rsid w:val="00510566"/>
    <w:rsid w:val="005165E6"/>
    <w:rsid w:val="0052600A"/>
    <w:rsid w:val="00526651"/>
    <w:rsid w:val="005304F1"/>
    <w:rsid w:val="00533381"/>
    <w:rsid w:val="005405F5"/>
    <w:rsid w:val="005431F8"/>
    <w:rsid w:val="00544505"/>
    <w:rsid w:val="0054746F"/>
    <w:rsid w:val="005600DA"/>
    <w:rsid w:val="00560D02"/>
    <w:rsid w:val="00562EE0"/>
    <w:rsid w:val="00566865"/>
    <w:rsid w:val="00571312"/>
    <w:rsid w:val="005828C6"/>
    <w:rsid w:val="005914DB"/>
    <w:rsid w:val="00593F83"/>
    <w:rsid w:val="005A0A16"/>
    <w:rsid w:val="005B0920"/>
    <w:rsid w:val="005B7AA3"/>
    <w:rsid w:val="005C5704"/>
    <w:rsid w:val="005C785E"/>
    <w:rsid w:val="005E02F5"/>
    <w:rsid w:val="00606314"/>
    <w:rsid w:val="0060675C"/>
    <w:rsid w:val="00613256"/>
    <w:rsid w:val="0061560A"/>
    <w:rsid w:val="00620F76"/>
    <w:rsid w:val="00625830"/>
    <w:rsid w:val="00625D62"/>
    <w:rsid w:val="00626FA6"/>
    <w:rsid w:val="00654935"/>
    <w:rsid w:val="006645F2"/>
    <w:rsid w:val="006651A6"/>
    <w:rsid w:val="0066547D"/>
    <w:rsid w:val="006722F0"/>
    <w:rsid w:val="00683EC5"/>
    <w:rsid w:val="006844C7"/>
    <w:rsid w:val="0069058E"/>
    <w:rsid w:val="00696259"/>
    <w:rsid w:val="00696E1E"/>
    <w:rsid w:val="006B1858"/>
    <w:rsid w:val="006B399A"/>
    <w:rsid w:val="006C2B1E"/>
    <w:rsid w:val="006C5F86"/>
    <w:rsid w:val="006D6474"/>
    <w:rsid w:val="006F0E83"/>
    <w:rsid w:val="006F2CEB"/>
    <w:rsid w:val="006F5040"/>
    <w:rsid w:val="00703A59"/>
    <w:rsid w:val="0070650B"/>
    <w:rsid w:val="0071745B"/>
    <w:rsid w:val="00721CD6"/>
    <w:rsid w:val="007268D8"/>
    <w:rsid w:val="00741790"/>
    <w:rsid w:val="0074565B"/>
    <w:rsid w:val="00745EC7"/>
    <w:rsid w:val="00751478"/>
    <w:rsid w:val="00751FA6"/>
    <w:rsid w:val="0075338C"/>
    <w:rsid w:val="00754AB2"/>
    <w:rsid w:val="0075579D"/>
    <w:rsid w:val="00756B27"/>
    <w:rsid w:val="00763752"/>
    <w:rsid w:val="007637F2"/>
    <w:rsid w:val="00771799"/>
    <w:rsid w:val="00776376"/>
    <w:rsid w:val="007807E3"/>
    <w:rsid w:val="0078513B"/>
    <w:rsid w:val="00786FBA"/>
    <w:rsid w:val="00791C08"/>
    <w:rsid w:val="00792A77"/>
    <w:rsid w:val="007A006B"/>
    <w:rsid w:val="007A1336"/>
    <w:rsid w:val="007A18F8"/>
    <w:rsid w:val="007A59AA"/>
    <w:rsid w:val="007A6817"/>
    <w:rsid w:val="007B1116"/>
    <w:rsid w:val="007D446C"/>
    <w:rsid w:val="007E10BA"/>
    <w:rsid w:val="007F3C69"/>
    <w:rsid w:val="007F4A80"/>
    <w:rsid w:val="007F6503"/>
    <w:rsid w:val="007F6665"/>
    <w:rsid w:val="007F750A"/>
    <w:rsid w:val="00804C96"/>
    <w:rsid w:val="00814D25"/>
    <w:rsid w:val="00814E7B"/>
    <w:rsid w:val="008225FB"/>
    <w:rsid w:val="0082456B"/>
    <w:rsid w:val="008255BB"/>
    <w:rsid w:val="00826A93"/>
    <w:rsid w:val="00840A67"/>
    <w:rsid w:val="00843C0E"/>
    <w:rsid w:val="0084567C"/>
    <w:rsid w:val="0085059F"/>
    <w:rsid w:val="00852723"/>
    <w:rsid w:val="00863B0D"/>
    <w:rsid w:val="00867734"/>
    <w:rsid w:val="008824D7"/>
    <w:rsid w:val="008950B0"/>
    <w:rsid w:val="008954E7"/>
    <w:rsid w:val="008971BB"/>
    <w:rsid w:val="008A69AC"/>
    <w:rsid w:val="008B302E"/>
    <w:rsid w:val="008C1CC4"/>
    <w:rsid w:val="008C46AA"/>
    <w:rsid w:val="008C52BD"/>
    <w:rsid w:val="008D25E6"/>
    <w:rsid w:val="008D3E2E"/>
    <w:rsid w:val="008E57B3"/>
    <w:rsid w:val="008F6C98"/>
    <w:rsid w:val="00907621"/>
    <w:rsid w:val="00907924"/>
    <w:rsid w:val="00910A87"/>
    <w:rsid w:val="0091600D"/>
    <w:rsid w:val="00921D8F"/>
    <w:rsid w:val="00927FF8"/>
    <w:rsid w:val="0093130C"/>
    <w:rsid w:val="00936E55"/>
    <w:rsid w:val="0095244B"/>
    <w:rsid w:val="009548B2"/>
    <w:rsid w:val="00955C24"/>
    <w:rsid w:val="00961B7A"/>
    <w:rsid w:val="00971E8F"/>
    <w:rsid w:val="00972770"/>
    <w:rsid w:val="00973F60"/>
    <w:rsid w:val="00974851"/>
    <w:rsid w:val="00981CF5"/>
    <w:rsid w:val="00991EEF"/>
    <w:rsid w:val="00995B15"/>
    <w:rsid w:val="009A5EE6"/>
    <w:rsid w:val="009B56CD"/>
    <w:rsid w:val="009C10AE"/>
    <w:rsid w:val="009C1310"/>
    <w:rsid w:val="009C3CD1"/>
    <w:rsid w:val="009D0DD9"/>
    <w:rsid w:val="009D1C39"/>
    <w:rsid w:val="009D6F5C"/>
    <w:rsid w:val="009E0888"/>
    <w:rsid w:val="009E2884"/>
    <w:rsid w:val="009E4EF3"/>
    <w:rsid w:val="009F7C3C"/>
    <w:rsid w:val="00A10611"/>
    <w:rsid w:val="00A13C10"/>
    <w:rsid w:val="00A14996"/>
    <w:rsid w:val="00A213D4"/>
    <w:rsid w:val="00A31739"/>
    <w:rsid w:val="00A3491A"/>
    <w:rsid w:val="00A41827"/>
    <w:rsid w:val="00A43301"/>
    <w:rsid w:val="00A4452C"/>
    <w:rsid w:val="00A47C6D"/>
    <w:rsid w:val="00A5091F"/>
    <w:rsid w:val="00A554CB"/>
    <w:rsid w:val="00A57D69"/>
    <w:rsid w:val="00A73BA5"/>
    <w:rsid w:val="00A83F43"/>
    <w:rsid w:val="00A96A89"/>
    <w:rsid w:val="00AA1ABD"/>
    <w:rsid w:val="00AB01CD"/>
    <w:rsid w:val="00AB3428"/>
    <w:rsid w:val="00AB5999"/>
    <w:rsid w:val="00AC1340"/>
    <w:rsid w:val="00AC1E1C"/>
    <w:rsid w:val="00AC3518"/>
    <w:rsid w:val="00AD6776"/>
    <w:rsid w:val="00AE141F"/>
    <w:rsid w:val="00AF2CBB"/>
    <w:rsid w:val="00B109C8"/>
    <w:rsid w:val="00B10E50"/>
    <w:rsid w:val="00B1197C"/>
    <w:rsid w:val="00B15C66"/>
    <w:rsid w:val="00B20286"/>
    <w:rsid w:val="00B30E36"/>
    <w:rsid w:val="00B36908"/>
    <w:rsid w:val="00B36D5E"/>
    <w:rsid w:val="00B52447"/>
    <w:rsid w:val="00B55088"/>
    <w:rsid w:val="00B57912"/>
    <w:rsid w:val="00B6736E"/>
    <w:rsid w:val="00B7254C"/>
    <w:rsid w:val="00B7470D"/>
    <w:rsid w:val="00B86783"/>
    <w:rsid w:val="00B900BC"/>
    <w:rsid w:val="00B92868"/>
    <w:rsid w:val="00B92F41"/>
    <w:rsid w:val="00B9420D"/>
    <w:rsid w:val="00B943D9"/>
    <w:rsid w:val="00BA318F"/>
    <w:rsid w:val="00BB3657"/>
    <w:rsid w:val="00BE0035"/>
    <w:rsid w:val="00BE0D38"/>
    <w:rsid w:val="00BE10D1"/>
    <w:rsid w:val="00BE6507"/>
    <w:rsid w:val="00C00CD4"/>
    <w:rsid w:val="00C12CEB"/>
    <w:rsid w:val="00C15645"/>
    <w:rsid w:val="00C31AC7"/>
    <w:rsid w:val="00C42F5B"/>
    <w:rsid w:val="00C4678B"/>
    <w:rsid w:val="00C52FD7"/>
    <w:rsid w:val="00C54AF1"/>
    <w:rsid w:val="00C553B3"/>
    <w:rsid w:val="00C569F5"/>
    <w:rsid w:val="00C57BCE"/>
    <w:rsid w:val="00C6549C"/>
    <w:rsid w:val="00C84957"/>
    <w:rsid w:val="00C85807"/>
    <w:rsid w:val="00C8732D"/>
    <w:rsid w:val="00C95052"/>
    <w:rsid w:val="00CA1934"/>
    <w:rsid w:val="00CA2B16"/>
    <w:rsid w:val="00CB6518"/>
    <w:rsid w:val="00CB7B04"/>
    <w:rsid w:val="00CC7E7D"/>
    <w:rsid w:val="00CE4841"/>
    <w:rsid w:val="00CE7E27"/>
    <w:rsid w:val="00CF5AB0"/>
    <w:rsid w:val="00CF77F5"/>
    <w:rsid w:val="00D00846"/>
    <w:rsid w:val="00D12752"/>
    <w:rsid w:val="00D15381"/>
    <w:rsid w:val="00D154E0"/>
    <w:rsid w:val="00D1588B"/>
    <w:rsid w:val="00D17E92"/>
    <w:rsid w:val="00D32696"/>
    <w:rsid w:val="00D35B3C"/>
    <w:rsid w:val="00D3754F"/>
    <w:rsid w:val="00D4109D"/>
    <w:rsid w:val="00D450E2"/>
    <w:rsid w:val="00D52659"/>
    <w:rsid w:val="00D76B89"/>
    <w:rsid w:val="00D822D5"/>
    <w:rsid w:val="00D83F79"/>
    <w:rsid w:val="00D8406E"/>
    <w:rsid w:val="00D9222E"/>
    <w:rsid w:val="00D9580D"/>
    <w:rsid w:val="00DA68CC"/>
    <w:rsid w:val="00DB17C6"/>
    <w:rsid w:val="00DB709B"/>
    <w:rsid w:val="00DC344E"/>
    <w:rsid w:val="00DC34CD"/>
    <w:rsid w:val="00DF5C4E"/>
    <w:rsid w:val="00DF5FF3"/>
    <w:rsid w:val="00E00C55"/>
    <w:rsid w:val="00E072BB"/>
    <w:rsid w:val="00E1770F"/>
    <w:rsid w:val="00E17CD0"/>
    <w:rsid w:val="00E207DD"/>
    <w:rsid w:val="00E32261"/>
    <w:rsid w:val="00E33941"/>
    <w:rsid w:val="00E37CDB"/>
    <w:rsid w:val="00E46C6E"/>
    <w:rsid w:val="00E46EDF"/>
    <w:rsid w:val="00E47CCA"/>
    <w:rsid w:val="00E51B0B"/>
    <w:rsid w:val="00E6422B"/>
    <w:rsid w:val="00E648EE"/>
    <w:rsid w:val="00E772DA"/>
    <w:rsid w:val="00E84CAD"/>
    <w:rsid w:val="00E9683B"/>
    <w:rsid w:val="00EA1306"/>
    <w:rsid w:val="00EC032E"/>
    <w:rsid w:val="00EC2E61"/>
    <w:rsid w:val="00EC79B4"/>
    <w:rsid w:val="00ED42CA"/>
    <w:rsid w:val="00ED4CAA"/>
    <w:rsid w:val="00ED7DF3"/>
    <w:rsid w:val="00EE3E81"/>
    <w:rsid w:val="00EE42DB"/>
    <w:rsid w:val="00EE7E7D"/>
    <w:rsid w:val="00EF1DCC"/>
    <w:rsid w:val="00EF63F1"/>
    <w:rsid w:val="00F017E5"/>
    <w:rsid w:val="00F04D63"/>
    <w:rsid w:val="00F12CDE"/>
    <w:rsid w:val="00F1789F"/>
    <w:rsid w:val="00F20455"/>
    <w:rsid w:val="00F20DA5"/>
    <w:rsid w:val="00F323AF"/>
    <w:rsid w:val="00F32D5C"/>
    <w:rsid w:val="00F462CC"/>
    <w:rsid w:val="00F53614"/>
    <w:rsid w:val="00F55CCB"/>
    <w:rsid w:val="00F579EA"/>
    <w:rsid w:val="00F63B8A"/>
    <w:rsid w:val="00F71E82"/>
    <w:rsid w:val="00F72119"/>
    <w:rsid w:val="00F800B0"/>
    <w:rsid w:val="00F95542"/>
    <w:rsid w:val="00F95F8D"/>
    <w:rsid w:val="00F96345"/>
    <w:rsid w:val="00F97892"/>
    <w:rsid w:val="00FA00CD"/>
    <w:rsid w:val="00FA4471"/>
    <w:rsid w:val="00FA4A5E"/>
    <w:rsid w:val="00FA6657"/>
    <w:rsid w:val="00FB00BF"/>
    <w:rsid w:val="00FB3617"/>
    <w:rsid w:val="00FC02F8"/>
    <w:rsid w:val="00FC24E3"/>
    <w:rsid w:val="00FC7654"/>
    <w:rsid w:val="00FE0479"/>
    <w:rsid w:val="00FE0D30"/>
    <w:rsid w:val="00FE5EA2"/>
    <w:rsid w:val="00FE6C83"/>
    <w:rsid w:val="00FE7EEF"/>
    <w:rsid w:val="04AB5538"/>
    <w:rsid w:val="05721A99"/>
    <w:rsid w:val="07907D39"/>
    <w:rsid w:val="08313E9F"/>
    <w:rsid w:val="13196683"/>
    <w:rsid w:val="13934BB1"/>
    <w:rsid w:val="15510E4B"/>
    <w:rsid w:val="17CE44C5"/>
    <w:rsid w:val="17E72916"/>
    <w:rsid w:val="18244C84"/>
    <w:rsid w:val="188E0CD1"/>
    <w:rsid w:val="1AFA69E5"/>
    <w:rsid w:val="1DAC2ED1"/>
    <w:rsid w:val="2A14203E"/>
    <w:rsid w:val="30A27431"/>
    <w:rsid w:val="32D44353"/>
    <w:rsid w:val="3446666E"/>
    <w:rsid w:val="3669102D"/>
    <w:rsid w:val="37CD1B5C"/>
    <w:rsid w:val="38433CF0"/>
    <w:rsid w:val="3E271D97"/>
    <w:rsid w:val="3E9779B4"/>
    <w:rsid w:val="443F1092"/>
    <w:rsid w:val="482A440F"/>
    <w:rsid w:val="49533AD0"/>
    <w:rsid w:val="49DF0B62"/>
    <w:rsid w:val="4A285FE2"/>
    <w:rsid w:val="4A517169"/>
    <w:rsid w:val="4BF63EEC"/>
    <w:rsid w:val="4D4811CF"/>
    <w:rsid w:val="4E60199C"/>
    <w:rsid w:val="4E8B641A"/>
    <w:rsid w:val="4EA56C86"/>
    <w:rsid w:val="52AD6929"/>
    <w:rsid w:val="52E86747"/>
    <w:rsid w:val="58A80E04"/>
    <w:rsid w:val="5C8C7E03"/>
    <w:rsid w:val="5D8635E1"/>
    <w:rsid w:val="62483A9D"/>
    <w:rsid w:val="65150451"/>
    <w:rsid w:val="65C53354"/>
    <w:rsid w:val="68B311DD"/>
    <w:rsid w:val="69074555"/>
    <w:rsid w:val="69B13E93"/>
    <w:rsid w:val="6A0C71F1"/>
    <w:rsid w:val="6C06286E"/>
    <w:rsid w:val="6CC509FF"/>
    <w:rsid w:val="71EB3F48"/>
    <w:rsid w:val="7309763C"/>
    <w:rsid w:val="73552C1A"/>
    <w:rsid w:val="7C0D027B"/>
    <w:rsid w:val="7D532941"/>
    <w:rsid w:val="7FF0199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7"/>
    <w:autoRedefine/>
    <w:qFormat/>
    <w:uiPriority w:val="9"/>
    <w:pPr>
      <w:keepNext/>
      <w:keepLines/>
      <w:spacing w:line="360" w:lineRule="auto"/>
      <w:outlineLvl w:val="0"/>
    </w:pPr>
    <w:rPr>
      <w:b/>
      <w:bCs/>
      <w:kern w:val="44"/>
      <w:sz w:val="32"/>
      <w:szCs w:val="44"/>
    </w:rPr>
  </w:style>
  <w:style w:type="paragraph" w:styleId="3">
    <w:name w:val="heading 2"/>
    <w:basedOn w:val="1"/>
    <w:next w:val="1"/>
    <w:link w:val="21"/>
    <w:autoRedefine/>
    <w:unhideWhenUsed/>
    <w:qFormat/>
    <w:uiPriority w:val="9"/>
    <w:pPr>
      <w:keepNext/>
      <w:keepLines/>
      <w:spacing w:line="360" w:lineRule="auto"/>
      <w:outlineLvl w:val="1"/>
    </w:pPr>
    <w:rPr>
      <w:rFonts w:ascii="Times New Roman" w:hAnsi="Times New Roman" w:eastAsia="宋体" w:cstheme="majorBidi"/>
      <w:b/>
      <w:bCs/>
      <w:sz w:val="24"/>
      <w:szCs w:val="32"/>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4">
    <w:name w:val="Normal Indent"/>
    <w:basedOn w:val="1"/>
    <w:autoRedefine/>
    <w:qFormat/>
    <w:uiPriority w:val="0"/>
    <w:pPr>
      <w:spacing w:line="500" w:lineRule="exact"/>
      <w:ind w:right="26" w:rightChars="8" w:firstLine="640"/>
    </w:pPr>
    <w:rPr>
      <w:rFonts w:ascii="楷体_GB2312" w:hAnsi="Times New Roman" w:eastAsia="楷体_GB2312" w:cs="Times New Roman"/>
      <w:sz w:val="30"/>
      <w:szCs w:val="32"/>
    </w:rPr>
  </w:style>
  <w:style w:type="paragraph" w:styleId="5">
    <w:name w:val="annotation text"/>
    <w:basedOn w:val="1"/>
    <w:autoRedefine/>
    <w:semiHidden/>
    <w:unhideWhenUsed/>
    <w:qFormat/>
    <w:uiPriority w:val="99"/>
    <w:pPr>
      <w:jc w:val="left"/>
    </w:pPr>
  </w:style>
  <w:style w:type="paragraph" w:styleId="6">
    <w:name w:val="toc 3"/>
    <w:basedOn w:val="1"/>
    <w:next w:val="1"/>
    <w:autoRedefine/>
    <w:unhideWhenUsed/>
    <w:qFormat/>
    <w:uiPriority w:val="39"/>
    <w:pPr>
      <w:widowControl/>
      <w:spacing w:after="100" w:line="259" w:lineRule="auto"/>
      <w:ind w:left="440"/>
      <w:jc w:val="left"/>
    </w:pPr>
    <w:rPr>
      <w:rFonts w:cs="Times New Roman"/>
      <w:kern w:val="0"/>
      <w:sz w:val="22"/>
    </w:rPr>
  </w:style>
  <w:style w:type="paragraph" w:styleId="7">
    <w:name w:val="Date"/>
    <w:basedOn w:val="1"/>
    <w:next w:val="1"/>
    <w:link w:val="23"/>
    <w:autoRedefine/>
    <w:semiHidden/>
    <w:unhideWhenUsed/>
    <w:qFormat/>
    <w:uiPriority w:val="99"/>
    <w:pPr>
      <w:ind w:left="100" w:leftChars="2500"/>
    </w:pPr>
  </w:style>
  <w:style w:type="paragraph" w:styleId="8">
    <w:name w:val="Balloon Text"/>
    <w:basedOn w:val="1"/>
    <w:link w:val="22"/>
    <w:autoRedefine/>
    <w:semiHidden/>
    <w:unhideWhenUsed/>
    <w:qFormat/>
    <w:uiPriority w:val="99"/>
    <w:rPr>
      <w:sz w:val="18"/>
      <w:szCs w:val="18"/>
    </w:rPr>
  </w:style>
  <w:style w:type="paragraph" w:styleId="9">
    <w:name w:val="footer"/>
    <w:basedOn w:val="1"/>
    <w:link w:val="19"/>
    <w:autoRedefine/>
    <w:unhideWhenUsed/>
    <w:qFormat/>
    <w:uiPriority w:val="99"/>
    <w:pPr>
      <w:tabs>
        <w:tab w:val="center" w:pos="4153"/>
        <w:tab w:val="right" w:pos="8306"/>
      </w:tabs>
      <w:snapToGrid w:val="0"/>
      <w:jc w:val="left"/>
    </w:pPr>
    <w:rPr>
      <w:sz w:val="18"/>
      <w:szCs w:val="18"/>
    </w:rPr>
  </w:style>
  <w:style w:type="paragraph" w:styleId="10">
    <w:name w:val="header"/>
    <w:basedOn w:val="1"/>
    <w:link w:val="18"/>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unhideWhenUsed/>
    <w:qFormat/>
    <w:uiPriority w:val="39"/>
    <w:pPr>
      <w:widowControl/>
      <w:spacing w:after="100" w:line="259" w:lineRule="auto"/>
      <w:jc w:val="left"/>
    </w:pPr>
    <w:rPr>
      <w:rFonts w:cs="Times New Roman"/>
      <w:kern w:val="0"/>
      <w:sz w:val="22"/>
    </w:rPr>
  </w:style>
  <w:style w:type="paragraph" w:styleId="12">
    <w:name w:val="toc 2"/>
    <w:basedOn w:val="1"/>
    <w:next w:val="1"/>
    <w:autoRedefine/>
    <w:unhideWhenUsed/>
    <w:qFormat/>
    <w:uiPriority w:val="39"/>
    <w:pPr>
      <w:widowControl/>
      <w:spacing w:after="100" w:line="259" w:lineRule="auto"/>
      <w:ind w:left="220"/>
      <w:jc w:val="left"/>
    </w:pPr>
    <w:rPr>
      <w:rFonts w:cs="Times New Roman"/>
      <w:kern w:val="0"/>
      <w:sz w:val="22"/>
    </w:rPr>
  </w:style>
  <w:style w:type="table" w:styleId="14">
    <w:name w:val="Table Grid"/>
    <w:basedOn w:val="13"/>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Hyperlink"/>
    <w:basedOn w:val="15"/>
    <w:autoRedefine/>
    <w:unhideWhenUsed/>
    <w:qFormat/>
    <w:uiPriority w:val="99"/>
    <w:rPr>
      <w:color w:val="0563C1" w:themeColor="hyperlink"/>
      <w:u w:val="single"/>
      <w14:textFill>
        <w14:solidFill>
          <w14:schemeClr w14:val="hlink"/>
        </w14:solidFill>
      </w14:textFill>
    </w:rPr>
  </w:style>
  <w:style w:type="character" w:customStyle="1" w:styleId="17">
    <w:name w:val="标题 1 Char"/>
    <w:basedOn w:val="15"/>
    <w:link w:val="2"/>
    <w:autoRedefine/>
    <w:qFormat/>
    <w:uiPriority w:val="9"/>
    <w:rPr>
      <w:b/>
      <w:bCs/>
      <w:kern w:val="44"/>
      <w:sz w:val="32"/>
      <w:szCs w:val="44"/>
    </w:rPr>
  </w:style>
  <w:style w:type="character" w:customStyle="1" w:styleId="18">
    <w:name w:val="页眉 Char"/>
    <w:basedOn w:val="15"/>
    <w:link w:val="10"/>
    <w:autoRedefine/>
    <w:qFormat/>
    <w:uiPriority w:val="99"/>
    <w:rPr>
      <w:sz w:val="18"/>
      <w:szCs w:val="18"/>
    </w:rPr>
  </w:style>
  <w:style w:type="character" w:customStyle="1" w:styleId="19">
    <w:name w:val="页脚 Char"/>
    <w:basedOn w:val="15"/>
    <w:link w:val="9"/>
    <w:autoRedefine/>
    <w:qFormat/>
    <w:uiPriority w:val="99"/>
    <w:rPr>
      <w:sz w:val="18"/>
      <w:szCs w:val="18"/>
    </w:rPr>
  </w:style>
  <w:style w:type="paragraph" w:customStyle="1" w:styleId="20">
    <w:name w:val="TOC 标题1"/>
    <w:basedOn w:val="2"/>
    <w:next w:val="1"/>
    <w:autoRedefine/>
    <w:unhideWhenUsed/>
    <w:qFormat/>
    <w:uiPriority w:val="39"/>
    <w:pPr>
      <w:widowControl/>
      <w:spacing w:before="240" w:line="259" w:lineRule="auto"/>
      <w:jc w:val="left"/>
      <w:outlineLvl w:val="9"/>
    </w:pPr>
    <w:rPr>
      <w:rFonts w:asciiTheme="majorHAnsi" w:hAnsiTheme="majorHAnsi" w:eastAsiaTheme="majorEastAsia" w:cstheme="majorBidi"/>
      <w:b w:val="0"/>
      <w:bCs w:val="0"/>
      <w:color w:val="2F5597" w:themeColor="accent1" w:themeShade="BF"/>
      <w:kern w:val="0"/>
      <w:szCs w:val="32"/>
    </w:rPr>
  </w:style>
  <w:style w:type="character" w:customStyle="1" w:styleId="21">
    <w:name w:val="标题 2 Char"/>
    <w:basedOn w:val="15"/>
    <w:link w:val="3"/>
    <w:autoRedefine/>
    <w:qFormat/>
    <w:uiPriority w:val="9"/>
    <w:rPr>
      <w:rFonts w:ascii="Times New Roman" w:hAnsi="Times New Roman" w:eastAsia="宋体" w:cstheme="majorBidi"/>
      <w:b/>
      <w:bCs/>
      <w:sz w:val="24"/>
      <w:szCs w:val="32"/>
    </w:rPr>
  </w:style>
  <w:style w:type="character" w:customStyle="1" w:styleId="22">
    <w:name w:val="批注框文本 Char"/>
    <w:basedOn w:val="15"/>
    <w:link w:val="8"/>
    <w:autoRedefine/>
    <w:semiHidden/>
    <w:qFormat/>
    <w:uiPriority w:val="99"/>
    <w:rPr>
      <w:sz w:val="18"/>
      <w:szCs w:val="18"/>
    </w:rPr>
  </w:style>
  <w:style w:type="character" w:customStyle="1" w:styleId="23">
    <w:name w:val="日期 Char"/>
    <w:basedOn w:val="15"/>
    <w:link w:val="7"/>
    <w:autoRedefine/>
    <w:semiHidden/>
    <w:qFormat/>
    <w:uiPriority w:val="99"/>
    <w:rPr>
      <w:rFonts w:asciiTheme="minorHAnsi" w:hAnsiTheme="minorHAnsi" w:eastAsiaTheme="minorEastAsia" w:cstheme="minorBidi"/>
      <w:kern w:val="2"/>
      <w:sz w:val="21"/>
      <w:szCs w:val="22"/>
    </w:rPr>
  </w:style>
  <w:style w:type="paragraph" w:customStyle="1" w:styleId="24">
    <w:name w:val="段"/>
    <w:link w:val="25"/>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段 Char"/>
    <w:link w:val="24"/>
    <w:autoRedefine/>
    <w:qFormat/>
    <w:uiPriority w:val="0"/>
    <w:rPr>
      <w:rFonts w:ascii="宋体"/>
      <w:sz w:val="21"/>
    </w:rPr>
  </w:style>
  <w:style w:type="paragraph" w:customStyle="1" w:styleId="26">
    <w:name w:val="一级条标题"/>
    <w:next w:val="24"/>
    <w:autoRedefine/>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27">
    <w:name w:val="章标题"/>
    <w:next w:val="24"/>
    <w:autoRedefine/>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28">
    <w:name w:val="二级条标题"/>
    <w:basedOn w:val="26"/>
    <w:next w:val="24"/>
    <w:autoRedefine/>
    <w:qFormat/>
    <w:uiPriority w:val="0"/>
    <w:pPr>
      <w:numPr>
        <w:ilvl w:val="2"/>
      </w:numPr>
      <w:spacing w:before="50" w:after="50"/>
      <w:ind w:left="426"/>
      <w:outlineLvl w:val="3"/>
    </w:pPr>
  </w:style>
  <w:style w:type="paragraph" w:customStyle="1" w:styleId="29">
    <w:name w:val="三级条标题"/>
    <w:basedOn w:val="28"/>
    <w:next w:val="24"/>
    <w:autoRedefine/>
    <w:qFormat/>
    <w:uiPriority w:val="0"/>
    <w:pPr>
      <w:numPr>
        <w:ilvl w:val="3"/>
      </w:numPr>
      <w:outlineLvl w:val="4"/>
    </w:pPr>
  </w:style>
  <w:style w:type="paragraph" w:customStyle="1" w:styleId="30">
    <w:name w:val="四级条标题"/>
    <w:basedOn w:val="29"/>
    <w:next w:val="24"/>
    <w:autoRedefine/>
    <w:qFormat/>
    <w:uiPriority w:val="0"/>
    <w:pPr>
      <w:numPr>
        <w:ilvl w:val="4"/>
      </w:numPr>
      <w:outlineLvl w:val="5"/>
    </w:pPr>
  </w:style>
  <w:style w:type="paragraph" w:customStyle="1" w:styleId="31">
    <w:name w:val="五级条标题"/>
    <w:basedOn w:val="30"/>
    <w:next w:val="24"/>
    <w:autoRedefine/>
    <w:qFormat/>
    <w:uiPriority w:val="0"/>
    <w:pPr>
      <w:numPr>
        <w:ilvl w:val="5"/>
      </w:numPr>
      <w:outlineLvl w:val="6"/>
    </w:pPr>
  </w:style>
  <w:style w:type="paragraph" w:customStyle="1" w:styleId="32">
    <w:name w:val="注："/>
    <w:next w:val="24"/>
    <w:autoRedefine/>
    <w:qFormat/>
    <w:uiPriority w:val="0"/>
    <w:pPr>
      <w:widowControl w:val="0"/>
      <w:numPr>
        <w:ilvl w:val="0"/>
        <w:numId w:val="2"/>
      </w:numPr>
      <w:autoSpaceDE w:val="0"/>
      <w:autoSpaceDN w:val="0"/>
      <w:jc w:val="both"/>
    </w:pPr>
    <w:rPr>
      <w:rFonts w:ascii="宋体" w:hAnsi="Times New Roman" w:eastAsia="宋体" w:cs="Times New Roman"/>
      <w:sz w:val="18"/>
      <w:szCs w:val="18"/>
      <w:lang w:val="en-US" w:eastAsia="zh-CN" w:bidi="ar-SA"/>
    </w:rPr>
  </w:style>
  <w:style w:type="paragraph" w:customStyle="1" w:styleId="33">
    <w:name w:val="注：（正文）"/>
    <w:basedOn w:val="32"/>
    <w:next w:val="24"/>
    <w:autoRedefine/>
    <w:qFormat/>
    <w:uiPriority w:val="0"/>
  </w:style>
  <w:style w:type="paragraph" w:customStyle="1" w:styleId="34">
    <w:name w:val="正文表标题"/>
    <w:next w:val="24"/>
    <w:autoRedefine/>
    <w:qFormat/>
    <w:uiPriority w:val="0"/>
    <w:pPr>
      <w:numPr>
        <w:ilvl w:val="0"/>
        <w:numId w:val="3"/>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35">
    <w:name w:val="TOC 标题2"/>
    <w:basedOn w:val="2"/>
    <w:next w:val="1"/>
    <w:autoRedefine/>
    <w:semiHidden/>
    <w:unhideWhenUsed/>
    <w:qFormat/>
    <w:uiPriority w:val="39"/>
    <w:pPr>
      <w:widowControl/>
      <w:spacing w:before="480" w:line="276" w:lineRule="auto"/>
      <w:jc w:val="left"/>
      <w:outlineLvl w:val="9"/>
    </w:pPr>
    <w:rPr>
      <w:rFonts w:asciiTheme="majorHAnsi" w:hAnsiTheme="majorHAnsi" w:eastAsiaTheme="majorEastAsia" w:cstheme="majorBidi"/>
      <w:color w:val="2F5597" w:themeColor="accent1" w:themeShade="BF"/>
      <w:kern w:val="0"/>
      <w:sz w:val="28"/>
      <w:szCs w:val="28"/>
    </w:rPr>
  </w:style>
  <w:style w:type="paragraph" w:styleId="36">
    <w:name w:val="List Paragraph"/>
    <w:basedOn w:val="1"/>
    <w:autoRedefine/>
    <w:qFormat/>
    <w:uiPriority w:val="99"/>
    <w:pPr>
      <w:ind w:firstLine="420"/>
    </w:pPr>
  </w:style>
  <w:style w:type="paragraph" w:customStyle="1" w:styleId="37">
    <w:name w:val="标准文件_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numbering" Target="numbering.xml"/><Relationship Id="rId15" Type="http://schemas.openxmlformats.org/officeDocument/2006/relationships/image" Target="media/image9.emf"/><Relationship Id="rId14" Type="http://schemas.openxmlformats.org/officeDocument/2006/relationships/image" Target="media/image8.jpe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A58F48-A3D8-452D-A5D6-EE12185CF715}">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25</Pages>
  <Words>13671</Words>
  <Characters>15362</Characters>
  <Lines>125</Lines>
  <Paragraphs>35</Paragraphs>
  <TotalTime>3</TotalTime>
  <ScaleCrop>false</ScaleCrop>
  <LinksUpToDate>false</LinksUpToDate>
  <CharactersWithSpaces>15580</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2021-04-24T11:21:00Z</dcterms:created>
  <dc:creator>汤</dc:creator>
  <cp:lastModifiedBy>汤泽平</cp:lastModifiedBy>
  <cp:lastPrinted>2019-08-27T07:55:00Z</cp:lastPrinted>
  <dcterms:modified xsi:type="dcterms:W3CDTF">2024-04-30T07:39:21Z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07BEBF2257CF482290A93727BBB2DD4A_13</vt:lpwstr>
  </property>
</Properties>
</file>